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BF" w:rsidRPr="00084487" w:rsidRDefault="00975F0D" w:rsidP="007D5AC1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margin-left:-3.9pt;margin-top:1.8pt;width:521.35pt;height:121.8pt;z-index:-251654656" filled="f" stroked="f" strokecolor="white">
            <v:textbox>
              <w:txbxContent>
                <w:p w:rsidR="00C32ADB" w:rsidRDefault="00C32ADB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56"/>
                      <w:szCs w:val="50"/>
                    </w:rPr>
                  </w:pPr>
                  <w:r>
                    <w:rPr>
                      <w:rFonts w:ascii="Adobe Garamond Pro Bold" w:hAnsi="Adobe Garamond Pro Bold" w:cs="Aharoni"/>
                      <w:b/>
                      <w:i/>
                      <w:shadow/>
                      <w:sz w:val="56"/>
                      <w:szCs w:val="50"/>
                    </w:rPr>
                    <w:t xml:space="preserve">Endoszkópos </w:t>
                  </w:r>
                  <w:r w:rsidR="001918AD">
                    <w:rPr>
                      <w:rFonts w:ascii="Adobe Garamond Pro Bold" w:hAnsi="Adobe Garamond Pro Bold" w:cs="Aharoni"/>
                      <w:b/>
                      <w:i/>
                      <w:shadow/>
                      <w:sz w:val="56"/>
                      <w:szCs w:val="50"/>
                    </w:rPr>
                    <w:t xml:space="preserve">vastagbél </w:t>
                  </w:r>
                  <w:r>
                    <w:rPr>
                      <w:rFonts w:ascii="Adobe Garamond Pro Bold" w:hAnsi="Adobe Garamond Pro Bold" w:cs="Aharoni"/>
                      <w:b/>
                      <w:i/>
                      <w:shadow/>
                      <w:sz w:val="56"/>
                      <w:szCs w:val="50"/>
                    </w:rPr>
                    <w:t>vizsgálathoz</w:t>
                  </w:r>
                </w:p>
                <w:p w:rsidR="007B0017" w:rsidRPr="007B0017" w:rsidRDefault="00540EAB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56"/>
                      <w:szCs w:val="50"/>
                    </w:rPr>
                  </w:pPr>
                  <w:r>
                    <w:rPr>
                      <w:rFonts w:ascii="Adobe Garamond Pro Bold" w:hAnsi="Adobe Garamond Pro Bold" w:cs="Aharoni"/>
                      <w:b/>
                      <w:i/>
                      <w:shadow/>
                      <w:sz w:val="56"/>
                      <w:szCs w:val="50"/>
                    </w:rPr>
                    <w:t>tájékoztató és beleegyező nyilatkozat</w:t>
                  </w:r>
                </w:p>
                <w:p w:rsidR="007B0017" w:rsidRPr="007B0017" w:rsidRDefault="007B0017" w:rsidP="00540EAB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311" type="#_x0000_t202" style="position:absolute;margin-left:456.7pt;margin-top:-40.5pt;width:116.5pt;height:90.25pt;z-index:251662848;mso-wrap-style:none" filled="f" stroked="f">
            <v:textbox style="mso-fit-shape-to-text:t">
              <w:txbxContent>
                <w:p w:rsidR="0019701D" w:rsidRDefault="002B01B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63364" cy="1052328"/>
                        <wp:effectExtent l="19050" t="0" r="0" b="0"/>
                        <wp:docPr id="1027" name="Kép 1027" descr="C:\Users\DEUS\Desktop\oo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C:\Users\DEUS\Desktop\oo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940" cy="1057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1B7">
        <w:rPr>
          <w:noProof/>
          <w:lang w:val="hu-HU"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-1835150</wp:posOffset>
            </wp:positionV>
            <wp:extent cx="7886700" cy="2160905"/>
            <wp:effectExtent l="19050" t="0" r="0" b="0"/>
            <wp:wrapNone/>
            <wp:docPr id="275" name="Kép 2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BF" w:rsidRPr="00084487" w:rsidRDefault="00540EAB" w:rsidP="00540EAB">
      <w:pPr>
        <w:tabs>
          <w:tab w:val="left" w:pos="7970"/>
        </w:tabs>
      </w:pPr>
      <w:r>
        <w:tab/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975F0D" w:rsidP="007D5AC1">
      <w:r>
        <w:rPr>
          <w:noProof/>
          <w:lang w:val="ru-RU"/>
        </w:rPr>
        <w:pict>
          <v:shape id="_x0000_s1243" type="#_x0000_t202" style="position:absolute;margin-left:3.75pt;margin-top:125.3pt;width:560.9pt;height:736.15pt;z-index:251656704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243;mso-column-margin:5.76pt" inset="2.88pt,2.88pt,2.88pt,2.88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5"/>
                    <w:gridCol w:w="343"/>
                    <w:gridCol w:w="1833"/>
                    <w:gridCol w:w="2845"/>
                    <w:gridCol w:w="4121"/>
                  </w:tblGrid>
                  <w:tr w:rsidR="00261A7B" w:rsidRPr="00B94742" w:rsidTr="00261A7B">
                    <w:trPr>
                      <w:trHeight w:val="564"/>
                    </w:trPr>
                    <w:tc>
                      <w:tcPr>
                        <w:tcW w:w="4351" w:type="dxa"/>
                        <w:gridSpan w:val="3"/>
                      </w:tcPr>
                      <w:p w:rsidR="00261A7B" w:rsidRPr="00B94742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Név</w:t>
                        </w: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2845" w:type="dxa"/>
                      </w:tcPr>
                      <w:p w:rsidR="00261A7B" w:rsidRPr="00B94742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Szül.:</w:t>
                        </w:r>
                      </w:p>
                    </w:tc>
                    <w:tc>
                      <w:tcPr>
                        <w:tcW w:w="4121" w:type="dxa"/>
                        <w:vMerge w:val="restart"/>
                      </w:tcPr>
                      <w:p w:rsidR="00261A7B" w:rsidRPr="00B94742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val="hu-HU" w:eastAsia="hu-HU"/>
                          </w:rPr>
                          <w:drawing>
                            <wp:inline distT="0" distB="0" distL="0" distR="0">
                              <wp:extent cx="2349960" cy="1797269"/>
                              <wp:effectExtent l="19050" t="0" r="0" b="0"/>
                              <wp:docPr id="8" name="Kép 5" descr="201103311721520705_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01103311721520705_S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51992" cy="17988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B18" w:rsidRPr="00B94742" w:rsidTr="003A4DDF">
                    <w:trPr>
                      <w:trHeight w:val="629"/>
                    </w:trPr>
                    <w:tc>
                      <w:tcPr>
                        <w:tcW w:w="2175" w:type="dxa"/>
                      </w:tcPr>
                      <w:p w:rsidR="00695B18" w:rsidRPr="0019701D" w:rsidRDefault="00695B18" w:rsidP="005362A6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Diagnózis</w:t>
                        </w: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</w:tcPr>
                      <w:p w:rsidR="00695B18" w:rsidRPr="00B94742" w:rsidRDefault="00695B18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TAJ</w:t>
                        </w: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2845" w:type="dxa"/>
                      </w:tcPr>
                      <w:p w:rsidR="00695B18" w:rsidRPr="00762A65" w:rsidRDefault="001918AD" w:rsidP="00261A7B">
                        <w:pPr>
                          <w:rPr>
                            <w:rFonts w:eastAsia="Times New Roman"/>
                            <w:b/>
                            <w:sz w:val="4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Eszköz</w:t>
                        </w:r>
                        <w:r w:rsidR="00695B18"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4121" w:type="dxa"/>
                        <w:vMerge/>
                      </w:tcPr>
                      <w:p w:rsidR="00695B18" w:rsidRPr="00B94742" w:rsidRDefault="00695B18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261A7B" w:rsidRPr="00B94742" w:rsidTr="00261A7B">
                    <w:trPr>
                      <w:trHeight w:val="902"/>
                    </w:trPr>
                    <w:tc>
                      <w:tcPr>
                        <w:tcW w:w="4351" w:type="dxa"/>
                        <w:gridSpan w:val="3"/>
                      </w:tcPr>
                      <w:p w:rsidR="00261A7B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Premedikáció</w:t>
                        </w:r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 xml:space="preserve">: </w:t>
                        </w:r>
                      </w:p>
                      <w:p w:rsidR="00261A7B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  <w:p w:rsidR="00261A7B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Dolargan      Buscopan     Dormicum     Atropin</w:t>
                        </w:r>
                      </w:p>
                      <w:p w:rsidR="00261A7B" w:rsidRPr="00B94742" w:rsidRDefault="00261A7B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 w:rsidR="00261A7B" w:rsidRPr="00731356" w:rsidRDefault="00261A7B" w:rsidP="005362A6">
                        <w:pPr>
                          <w:rPr>
                            <w:rFonts w:eastAsia="Times New Roman"/>
                            <w:b/>
                            <w:sz w:val="10"/>
                            <w:szCs w:val="20"/>
                            <w:lang w:eastAsia="hu-HU"/>
                          </w:rPr>
                        </w:pPr>
                      </w:p>
                      <w:p w:rsidR="00261A7B" w:rsidRDefault="001918AD" w:rsidP="00762A65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Coecum</w:t>
                        </w:r>
                        <w:r w:rsidR="00261A7B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 xml:space="preserve"> □</w:t>
                        </w:r>
                      </w:p>
                      <w:p w:rsidR="001918AD" w:rsidRDefault="001918AD" w:rsidP="00762A65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</w:p>
                      <w:p w:rsidR="001918AD" w:rsidRPr="00B94742" w:rsidRDefault="001918AD" w:rsidP="00762A65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Coecum fotó:  □</w:t>
                        </w:r>
                      </w:p>
                    </w:tc>
                    <w:tc>
                      <w:tcPr>
                        <w:tcW w:w="4121" w:type="dxa"/>
                        <w:vMerge/>
                      </w:tcPr>
                      <w:p w:rsidR="00261A7B" w:rsidRPr="00B94742" w:rsidRDefault="00261A7B" w:rsidP="00B877C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695B18" w:rsidRPr="00B94742" w:rsidTr="001918AD">
                    <w:trPr>
                      <w:trHeight w:val="700"/>
                    </w:trPr>
                    <w:tc>
                      <w:tcPr>
                        <w:tcW w:w="2518" w:type="dxa"/>
                        <w:gridSpan w:val="2"/>
                      </w:tcPr>
                      <w:p w:rsidR="00695B18" w:rsidRPr="0019701D" w:rsidRDefault="001918AD" w:rsidP="005362A6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Coecum intubáció (s)</w:t>
                        </w:r>
                        <w:r w:rsidR="00695B18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695B18" w:rsidRPr="0019701D" w:rsidRDefault="001918AD" w:rsidP="005362A6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Kihúzás (s):</w:t>
                        </w:r>
                      </w:p>
                    </w:tc>
                    <w:tc>
                      <w:tcPr>
                        <w:tcW w:w="2845" w:type="dxa"/>
                      </w:tcPr>
                      <w:p w:rsidR="00695B18" w:rsidRDefault="00695B18" w:rsidP="00261A7B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Intestinalis stent:</w:t>
                        </w:r>
                      </w:p>
                      <w:p w:rsidR="00695B18" w:rsidRPr="00731356" w:rsidRDefault="00695B18" w:rsidP="005362A6">
                        <w:pPr>
                          <w:rPr>
                            <w:rFonts w:eastAsia="Times New Roman"/>
                            <w:b/>
                            <w:sz w:val="1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121" w:type="dxa"/>
                        <w:vMerge/>
                      </w:tcPr>
                      <w:p w:rsidR="00695B18" w:rsidRPr="00B94742" w:rsidRDefault="00695B18" w:rsidP="00B877C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</w:tbl>
                <w:p w:rsidR="0019701D" w:rsidRPr="0019701D" w:rsidRDefault="0019701D" w:rsidP="00266247">
                  <w:pPr>
                    <w:spacing w:line="360" w:lineRule="auto"/>
                    <w:rPr>
                      <w:sz w:val="12"/>
                    </w:rPr>
                  </w:pPr>
                </w:p>
                <w:p w:rsidR="0019701D" w:rsidRDefault="0019701D" w:rsidP="00266247">
                  <w:pPr>
                    <w:spacing w:line="360" w:lineRule="auto"/>
                    <w:rPr>
                      <w:b/>
                    </w:rPr>
                  </w:pPr>
                  <w:r w:rsidRPr="00A94A40">
                    <w:t>□</w:t>
                  </w:r>
                  <w:r>
                    <w:rPr>
                      <w:b/>
                    </w:rPr>
                    <w:t xml:space="preserve"> Cukorbetegség</w:t>
                  </w:r>
                  <w:r w:rsidR="00C83B34">
                    <w:rPr>
                      <w:b/>
                    </w:rPr>
                    <w:t>:.....................</w:t>
                  </w:r>
                  <w:r w:rsidR="00261A7B">
                    <w:rPr>
                      <w:b/>
                    </w:rPr>
                    <w:t xml:space="preserve">............................ </w:t>
                  </w:r>
                  <w:r w:rsidR="00261A7B" w:rsidRPr="00261A7B">
                    <w:t xml:space="preserve"> </w:t>
                  </w:r>
                  <w:r w:rsidR="00261A7B" w:rsidRPr="00A94A40">
                    <w:t>□</w:t>
                  </w:r>
                  <w:r w:rsidR="00261A7B">
                    <w:rPr>
                      <w:b/>
                    </w:rPr>
                    <w:t xml:space="preserve"> Véralvadásgátló gyógyszer:..................................................</w:t>
                  </w:r>
                </w:p>
                <w:p w:rsidR="00261A7B" w:rsidRDefault="00266247" w:rsidP="00261A7B">
                  <w:pPr>
                    <w:spacing w:line="360" w:lineRule="auto"/>
                    <w:rPr>
                      <w:b/>
                    </w:rPr>
                  </w:pPr>
                  <w:r w:rsidRPr="00A94A40">
                    <w:t>□</w:t>
                  </w:r>
                  <w:r>
                    <w:rPr>
                      <w:b/>
                    </w:rPr>
                    <w:t xml:space="preserve"> </w:t>
                  </w:r>
                  <w:r w:rsidR="0019701D">
                    <w:rPr>
                      <w:b/>
                    </w:rPr>
                    <w:t>CAVE</w:t>
                  </w:r>
                  <w:r w:rsidR="00261A7B">
                    <w:rPr>
                      <w:b/>
                    </w:rPr>
                    <w:t>, ha igen mi:………………………....…</w:t>
                  </w:r>
                  <w:r w:rsidR="00E30F9F" w:rsidRPr="00E30F9F">
                    <w:t xml:space="preserve"> </w:t>
                  </w:r>
                  <w:r w:rsidR="00261A7B" w:rsidRPr="00A94A40">
                    <w:t>□</w:t>
                  </w:r>
                  <w:r w:rsidR="00261A7B">
                    <w:rPr>
                      <w:b/>
                    </w:rPr>
                    <w:t xml:space="preserve"> Vérzékenység     </w:t>
                  </w:r>
                  <w:r w:rsidR="00261A7B" w:rsidRPr="00A94A40">
                    <w:t>□</w:t>
                  </w:r>
                  <w:r w:rsidR="00261A7B">
                    <w:rPr>
                      <w:b/>
                    </w:rPr>
                    <w:t xml:space="preserve"> Zöldhályog     </w:t>
                  </w:r>
                  <w:r w:rsidR="00261A7B" w:rsidRPr="00A94A40">
                    <w:t>□</w:t>
                  </w:r>
                  <w:r w:rsidR="00261A7B">
                    <w:rPr>
                      <w:b/>
                    </w:rPr>
                    <w:t xml:space="preserve"> Szívritmus szabályozó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10"/>
                    <w:gridCol w:w="3686"/>
                    <w:gridCol w:w="4111"/>
                  </w:tblGrid>
                  <w:tr w:rsidR="001918AD" w:rsidRPr="00B94742" w:rsidTr="001918AD">
                    <w:tc>
                      <w:tcPr>
                        <w:tcW w:w="3510" w:type="dxa"/>
                      </w:tcPr>
                      <w:p w:rsidR="001918AD" w:rsidRPr="00B94742" w:rsidRDefault="001918AD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Vércsoport:</w:t>
                        </w:r>
                      </w:p>
                      <w:p w:rsidR="001918AD" w:rsidRPr="00B94742" w:rsidRDefault="001918AD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1918AD" w:rsidRPr="00B94742" w:rsidRDefault="001918AD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INR: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1918AD" w:rsidRPr="00B94742" w:rsidRDefault="001918AD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PLT:</w:t>
                        </w:r>
                      </w:p>
                    </w:tc>
                  </w:tr>
                </w:tbl>
                <w:p w:rsidR="00266247" w:rsidRDefault="00266247" w:rsidP="00266247">
                  <w:pPr>
                    <w:rPr>
                      <w:b/>
                      <w:i/>
                    </w:rPr>
                  </w:pPr>
                </w:p>
                <w:p w:rsidR="00266247" w:rsidRPr="00417B95" w:rsidRDefault="00266247" w:rsidP="00266247">
                  <w:pPr>
                    <w:rPr>
                      <w:sz w:val="32"/>
                    </w:rPr>
                  </w:pPr>
                  <w:r w:rsidRPr="00417B95">
                    <w:rPr>
                      <w:b/>
                      <w:i/>
                      <w:sz w:val="32"/>
                    </w:rPr>
                    <w:t>Beteg beleegyezése</w:t>
                  </w:r>
                  <w:r w:rsidRPr="00417B95">
                    <w:rPr>
                      <w:sz w:val="32"/>
                    </w:rPr>
                    <w:t xml:space="preserve"> </w:t>
                  </w:r>
                </w:p>
                <w:p w:rsidR="00266247" w:rsidRPr="002A553F" w:rsidRDefault="00C83B34" w:rsidP="00266247">
                  <w:pPr>
                    <w:spacing w:line="276" w:lineRule="auto"/>
                    <w:jc w:val="both"/>
                  </w:pPr>
                  <w:r>
                    <w:t xml:space="preserve">Ez egy jogi dokumentum, kérjük alaposan nézze át! </w:t>
                  </w:r>
                  <w:r w:rsidR="00266247" w:rsidRPr="002A553F">
                    <w:t>Tudomásul veszem, hogy a mai napon nem vehetek részt aktívan a közlekedésben (nem vezethetek járművet) és nem dolgozhatok veszélyes munkahelyen. A</w:t>
                  </w:r>
                  <w:r w:rsidR="00266247" w:rsidRPr="002A553F">
                    <w:rPr>
                      <w:b/>
                      <w:i/>
                    </w:rPr>
                    <w:t xml:space="preserve"> </w:t>
                  </w:r>
                  <w:r w:rsidR="00B940AE">
                    <w:t xml:space="preserve"> fenti endoszkópos eljárást</w:t>
                  </w:r>
                  <w:r w:rsidR="00266247" w:rsidRPr="002A553F">
                    <w:t>, valamint bármely további, szükségessé váló eljárást vagy kezelést kezelőorvosom teljes mértékben elmagyarázta nekem. Választ kaptam minden olyan kérdésemre, amelyeket fontosnak tartottam a javasolt eljárások természetével és céljával és a bennük rejlő kockázatokkal és lehetséges komplikációikkal kapcsolatban. Nincs további kérdésem és úgy érzem, az adott tanácsadás kielégítő volt. Ezért</w:t>
                  </w:r>
                  <w:r>
                    <w:t>,</w:t>
                  </w:r>
                  <w:r w:rsidR="00266247" w:rsidRPr="002A553F">
                    <w:t xml:space="preserve"> miután kellő idő állt rendelkezésre a döntésem megfontolására, ezennel hozzájárulok, és kérem, hogy a javasolt eljárást vagy kezelést rajtam elvégezzék! Ezennel véglegesen beleegyezem abba is, hogy az orvos elvégezzen bármely további vagy rákövetkező eljárást vagy kezelést</w:t>
                  </w:r>
                  <w:r>
                    <w:t xml:space="preserve"> a vizsgálat során</w:t>
                  </w:r>
                  <w:r w:rsidR="00266247" w:rsidRPr="002A553F">
                    <w:t>, amely szükségessé válhat</w:t>
                  </w:r>
                  <w:r>
                    <w:t xml:space="preserve"> (vérzéscsillapítás, mintavétel)</w:t>
                  </w:r>
                  <w:r w:rsidR="00266247" w:rsidRPr="002A553F">
                    <w:t>, még ha nem is volt e</w:t>
                  </w:r>
                  <w:r>
                    <w:t>lőre látható. Beleegyezem a vérátömlesztésbe</w:t>
                  </w:r>
                  <w:r w:rsidR="00266247" w:rsidRPr="002A553F">
                    <w:t xml:space="preserve"> is, ha orvosilag szükséges.</w:t>
                  </w:r>
                </w:p>
                <w:p w:rsidR="00266247" w:rsidRDefault="00266247" w:rsidP="00266247">
                  <w:pPr>
                    <w:spacing w:line="276" w:lineRule="auto"/>
                    <w:jc w:val="both"/>
                  </w:pPr>
                  <w:r w:rsidRPr="002A553F">
                    <w:t>Kérem és ezennel hozzájárulok, hogy a rajtam tervezett endoscopos beavatkozást a kezelőorvos által javasolt komplex bódítást és fájdalomcsillapítást szolgáló gyógyszeres előkezelés segítségével végezzék el, pulzoxyméteres ellenőrzés mellett, az eközben szükségessé váló eszközös vizsgálatokat, beavatkozásokat végrehajtsák és a beavatkozás közben felmerülő, újabb szakmai szempontoknak megfelelően szükség esetén a bódítás és fájdalomcsillapítás módszerén változtassanak.</w:t>
                  </w:r>
                </w:p>
                <w:p w:rsidR="00266247" w:rsidRPr="002A553F" w:rsidRDefault="00266247" w:rsidP="00266247">
                  <w:pPr>
                    <w:jc w:val="both"/>
                  </w:pPr>
                </w:p>
                <w:p w:rsidR="00266247" w:rsidRDefault="00975F0D" w:rsidP="00266247">
                  <w:r>
                    <w:t xml:space="preserve">Budapest </w:t>
                  </w:r>
                  <w:r w:rsidR="004E792B">
                    <w:t>20</w:t>
                  </w:r>
                  <w:r>
                    <w:t>20</w:t>
                  </w:r>
                  <w:r w:rsidR="004E792B">
                    <w:t>.</w:t>
                  </w:r>
                  <w:r w:rsidR="00266247">
                    <w:t>………………………                                                       ………………………………..</w:t>
                  </w:r>
                </w:p>
                <w:p w:rsidR="00266247" w:rsidRDefault="00266247" w:rsidP="00266247">
                  <w:r>
                    <w:t xml:space="preserve"> </w:t>
                  </w:r>
                  <w:r w:rsidR="00417B95">
                    <w:t xml:space="preserve">        </w:t>
                  </w:r>
                  <w:r>
                    <w:t xml:space="preserve">    Hely/dátum/idő                                                                                       Beteg aláírása</w:t>
                  </w:r>
                </w:p>
                <w:p w:rsidR="00266247" w:rsidRDefault="00266247" w:rsidP="00266247"/>
                <w:p w:rsidR="00266247" w:rsidRDefault="00417B95" w:rsidP="00266247">
                  <w:r>
                    <w:t xml:space="preserve">      </w:t>
                  </w:r>
                  <w:r w:rsidR="00266247">
                    <w:t>…………………………………                                                       ………………………………..</w:t>
                  </w:r>
                </w:p>
                <w:p w:rsidR="00266247" w:rsidRDefault="00266247" w:rsidP="00266247">
                  <w:r>
                    <w:t xml:space="preserve">     </w:t>
                  </w:r>
                  <w:r w:rsidR="00417B95">
                    <w:t xml:space="preserve">       </w:t>
                  </w:r>
                  <w:r>
                    <w:t xml:space="preserve">  Vizsgáló orvos                                                                                 Vizsgáló asszisztens</w:t>
                  </w:r>
                </w:p>
                <w:p w:rsidR="00266247" w:rsidRPr="001918AD" w:rsidRDefault="00266247" w:rsidP="00266247">
                  <w:pPr>
                    <w:rPr>
                      <w:b/>
                      <w:i/>
                      <w:sz w:val="16"/>
                    </w:rPr>
                  </w:pPr>
                </w:p>
                <w:p w:rsidR="00266247" w:rsidRPr="00417B95" w:rsidRDefault="00266247" w:rsidP="00266247">
                  <w:pPr>
                    <w:rPr>
                      <w:b/>
                      <w:i/>
                      <w:sz w:val="32"/>
                    </w:rPr>
                  </w:pPr>
                  <w:r w:rsidRPr="00417B95">
                    <w:rPr>
                      <w:b/>
                      <w:i/>
                      <w:sz w:val="32"/>
                    </w:rPr>
                    <w:t>Beleegyezés megtagadása esetén</w:t>
                  </w:r>
                </w:p>
                <w:p w:rsidR="00266247" w:rsidRDefault="00266247" w:rsidP="00266247">
                  <w:pPr>
                    <w:spacing w:line="276" w:lineRule="auto"/>
                  </w:pPr>
                  <w:r>
                    <w:t>A konzultáció után a beteg megtagadta a javasolt eljárásba való beleegyezését. A beteg</w:t>
                  </w:r>
                  <w:r w:rsidR="00417B95">
                    <w:t xml:space="preserve">   </w:t>
                  </w:r>
                  <w:r>
                    <w:t xml:space="preserve">tájékoztatást kapott a </w:t>
                  </w:r>
                  <w:r w:rsidR="00417B95">
                    <w:t xml:space="preserve"> v</w:t>
                  </w:r>
                  <w:r>
                    <w:t>isszautasítás miatt lehetséges orvosi következményekről.</w:t>
                  </w:r>
                </w:p>
                <w:p w:rsidR="00266247" w:rsidRDefault="00266247" w:rsidP="00266247"/>
                <w:p w:rsidR="00266247" w:rsidRDefault="00417B95" w:rsidP="00266247">
                  <w:r>
                    <w:t xml:space="preserve">        </w:t>
                  </w:r>
                  <w:r w:rsidR="00266247">
                    <w:t>…………………………………                                                        ………………………………..</w:t>
                  </w:r>
                </w:p>
                <w:p w:rsidR="00266247" w:rsidRDefault="00266247" w:rsidP="00266247">
                  <w:r>
                    <w:t xml:space="preserve">        </w:t>
                  </w:r>
                  <w:r w:rsidR="00417B95">
                    <w:t xml:space="preserve">        </w:t>
                  </w:r>
                  <w:r>
                    <w:t xml:space="preserve">  Hely/dátum/idő                                                                                      Beteg aláírása</w:t>
                  </w:r>
                </w:p>
                <w:p w:rsidR="00151FD0" w:rsidRPr="00EA52CF" w:rsidRDefault="00151FD0" w:rsidP="00151FD0">
                  <w:pPr>
                    <w:pStyle w:val="MyHeadtitle"/>
                    <w:rPr>
                      <w:color w:val="FFFFFF"/>
                    </w:rPr>
                  </w:pPr>
                </w:p>
                <w:p w:rsidR="00151FD0" w:rsidRPr="00E34D55" w:rsidRDefault="00151FD0" w:rsidP="00151FD0">
                  <w:pPr>
                    <w:pStyle w:val="My"/>
                    <w:jc w:val="both"/>
                    <w:rPr>
                      <w:rStyle w:val="sowc"/>
                      <w:b/>
                      <w:color w:val="993366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BE34C5" w:rsidRPr="00084487" w:rsidRDefault="00BE34C5" w:rsidP="007D5AC1"/>
    <w:p w:rsidR="00BE34C5" w:rsidRPr="00084487" w:rsidRDefault="00BE34C5" w:rsidP="007D5AC1"/>
    <w:p w:rsidR="00BE34C5" w:rsidRPr="00084487" w:rsidRDefault="00BE34C5" w:rsidP="007D5AC1"/>
    <w:p w:rsidR="00F0441F" w:rsidRPr="00084487" w:rsidRDefault="00F0441F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2D2E2F" w:rsidP="00606388">
      <w:pPr>
        <w:tabs>
          <w:tab w:val="left" w:pos="9012"/>
        </w:tabs>
      </w:pPr>
      <w:r w:rsidRPr="00084487">
        <w:tab/>
      </w:r>
    </w:p>
    <w:p w:rsidR="00664743" w:rsidRPr="00084487" w:rsidRDefault="00664743" w:rsidP="007D5AC1"/>
    <w:p w:rsidR="00664743" w:rsidRPr="00084487" w:rsidRDefault="00975F0D" w:rsidP="007D5AC1">
      <w:r>
        <w:rPr>
          <w:noProof/>
          <w:lang w:val="ru-RU"/>
        </w:rPr>
        <w:lastRenderedPageBreak/>
        <w:pict>
          <v:shape id="_x0000_s1174" type="#_x0000_t202" style="position:absolute;margin-left:9.95pt;margin-top:-.05pt;width:474pt;height:840.4pt;z-index:25165568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174;mso-column-margin:5.76pt" inset="2.88pt,2.88pt,2.88pt,2.88pt">
              <w:txbxContent>
                <w:p w:rsidR="007B0017" w:rsidRPr="00417B95" w:rsidRDefault="007B0017" w:rsidP="00417B95">
                  <w:pPr>
                    <w:spacing w:line="276" w:lineRule="auto"/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A vizsgálat</w:t>
                  </w:r>
                </w:p>
                <w:p w:rsidR="00FF78A3" w:rsidRPr="00B02FA2" w:rsidRDefault="00FF78A3" w:rsidP="00FF78A3">
                  <w:pPr>
                    <w:pStyle w:val="Default"/>
                    <w:spacing w:before="10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A vizsgálat során egy vékony, hajlékony eszközt (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kolonoszkóp) kerül fel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vezetésre 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a végbélnyíláson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át a 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vakbélig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, mely erős fényforrást és elektromos képtovábbító rendszert tartalmaz. Segítségével a nyálkahártya képe monitor képernyőjére továbbítható, szükséges esetben rögzíthető. A vizsgálat alatt a jobb képalkotás érdekében levegőt fújunk be, mely esetleg okozhat kellemetlen puffadást, teltségérzetet.  Szükség esetén biopsziás mintavételre, vérzéscsillapításra, polyp-eltávolítá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sra, tágításra, öntáguló stent behelyezésre 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is van mód. A vizsgálat kimutatja a 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vastagbél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fekélyes, gyulladásos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, daganatos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, daganat megelőző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elváltozásait</w:t>
                  </w:r>
                  <w:r w:rsidR="00E14069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(polyp).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</w:t>
                  </w:r>
                </w:p>
                <w:p w:rsidR="007B0017" w:rsidRPr="00417B95" w:rsidRDefault="007B0017" w:rsidP="00417B95">
                  <w:pPr>
                    <w:spacing w:line="276" w:lineRule="auto"/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A beavatkozás</w:t>
                  </w:r>
                </w:p>
                <w:p w:rsidR="007B0017" w:rsidRPr="00417B95" w:rsidRDefault="007B0017" w:rsidP="00417B95">
                  <w:pPr>
                    <w:rPr>
                      <w:sz w:val="28"/>
                    </w:rPr>
                  </w:pPr>
                  <w:r w:rsidRPr="00417B95">
                    <w:rPr>
                      <w:sz w:val="28"/>
                    </w:rPr>
                    <w:t>A beteg a vizsgálat előtt intravénás nyugtató, és/vagy helyi érzéstelenítő  adásában részesül, mely jelentősen csökkenti a beavatkozás alatt jelentkező szorongást és kellemetlen panaszokat. A beteg a vizsgálat alatt eszméleténél van</w:t>
                  </w:r>
                  <w:r w:rsidR="00E14069">
                    <w:rPr>
                      <w:sz w:val="28"/>
                    </w:rPr>
                    <w:t>, és a bal oldalán fekszik.  Az  orvos fel</w:t>
                  </w:r>
                  <w:r w:rsidRPr="00417B95">
                    <w:rPr>
                      <w:sz w:val="28"/>
                    </w:rPr>
                    <w:t xml:space="preserve">vezeti a hajlékony endoszkópot </w:t>
                  </w:r>
                  <w:r w:rsidR="00E14069">
                    <w:rPr>
                      <w:sz w:val="28"/>
                    </w:rPr>
                    <w:t>végbélen</w:t>
                  </w:r>
                  <w:r w:rsidRPr="00417B95">
                    <w:rPr>
                      <w:sz w:val="28"/>
                    </w:rPr>
                    <w:t xml:space="preserve"> keresztül, mely </w:t>
                  </w:r>
                  <w:r w:rsidR="00C83B34">
                    <w:rPr>
                      <w:sz w:val="28"/>
                    </w:rPr>
                    <w:t>á</w:t>
                  </w:r>
                  <w:r w:rsidRPr="00417B95">
                    <w:rPr>
                      <w:sz w:val="28"/>
                    </w:rPr>
                    <w:t>tmérője 13mm.  Az orvos és az endoszkópos asszisztens folyamatos informálja és instruálja a beteget, ezért a kooperáció nagyban segíti a vizsgálatot és rövidíti a vizsgálat idejét. Általában a beavatkozás 15-30 percet vesz igénybe, de komplikált esetben hosszabb ideig is tarthat.</w:t>
                  </w:r>
                </w:p>
                <w:p w:rsidR="00E14069" w:rsidRDefault="00E14069" w:rsidP="00E14069">
                  <w:pPr>
                    <w:pStyle w:val="Listaszerbekezds1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4D2654">
                    <w:rPr>
                      <w:b/>
                      <w:color w:val="000000"/>
                    </w:rPr>
                    <w:t>perforáció:</w:t>
                  </w:r>
                  <w:r>
                    <w:rPr>
                      <w:color w:val="000000"/>
                    </w:rPr>
                    <w:t xml:space="preserve"> 1/4600 az aránya, mely az esetek többségében sebészeti ellátást igényel. Diverticulitis esetén az arány valamivel magasabb.</w:t>
                  </w:r>
                </w:p>
                <w:p w:rsidR="00E14069" w:rsidRDefault="00E14069" w:rsidP="00E14069">
                  <w:pPr>
                    <w:pStyle w:val="Listaszerbekezds1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vérzés:</w:t>
                  </w:r>
                  <w:r>
                    <w:rPr>
                      <w:color w:val="000000"/>
                    </w:rPr>
                    <w:t xml:space="preserve"> polyp levétel esetén kb. 1/100 az enyhe vérzéses szövődmény esélye, mely az esetek egyrészében (1/730) transzfúziót igényel</w:t>
                  </w:r>
                </w:p>
                <w:p w:rsidR="00E14069" w:rsidRDefault="00E14069" w:rsidP="00E14069">
                  <w:pPr>
                    <w:pStyle w:val="Listaszerbekezds1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FC686F">
                    <w:rPr>
                      <w:b/>
                      <w:color w:val="000000"/>
                    </w:rPr>
                    <w:t>szív- és tüdőszövődmény:</w:t>
                  </w:r>
                  <w:r>
                    <w:rPr>
                      <w:color w:val="000000"/>
                    </w:rPr>
                    <w:t xml:space="preserve"> Komolyabb problémák ritkán fordulnak elő, azonban súlyos, idült obstruktív tüdőbetegség, szívelégtelenség, infarktus utáni állapot esetén a komplikáció gyakoribb.</w:t>
                  </w:r>
                </w:p>
                <w:p w:rsidR="00FF78A3" w:rsidRPr="003A192E" w:rsidRDefault="00E14069" w:rsidP="00E14069">
                  <w:pPr>
                    <w:pStyle w:val="Listaszerbekezds1"/>
                    <w:numPr>
                      <w:ilvl w:val="0"/>
                      <w:numId w:val="3"/>
                    </w:numPr>
                    <w:rPr>
                      <w:color w:val="000000"/>
                      <w:sz w:val="12"/>
                    </w:rPr>
                  </w:pPr>
                  <w:r w:rsidRPr="00FC686F">
                    <w:rPr>
                      <w:b/>
                      <w:color w:val="000000"/>
                    </w:rPr>
                    <w:t>igen ritka (1/10000) komplikációk:</w:t>
                  </w:r>
                  <w:r>
                    <w:rPr>
                      <w:color w:val="000000"/>
                    </w:rPr>
                    <w:t xml:space="preserve"> fertőzés, szervkárosodás, bélcsavarodás, vakbélgyulladás, allergia, idegsérülés, halál.</w:t>
                  </w:r>
                </w:p>
                <w:p w:rsidR="007B0017" w:rsidRPr="00417B95" w:rsidRDefault="007B0017" w:rsidP="00C83B34">
                  <w:pPr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Vizsgálat előtt</w:t>
                  </w:r>
                </w:p>
                <w:p w:rsidR="007B0017" w:rsidRPr="00417B95" w:rsidRDefault="007B0017" w:rsidP="00E30F9F">
                  <w:pPr>
                    <w:spacing w:line="276" w:lineRule="auto"/>
                    <w:rPr>
                      <w:sz w:val="28"/>
                    </w:rPr>
                  </w:pPr>
                  <w:r w:rsidRPr="00417B95">
                    <w:rPr>
                      <w:sz w:val="28"/>
                    </w:rPr>
                    <w:t xml:space="preserve">A vizsgált előtt </w:t>
                  </w:r>
                  <w:r w:rsidR="003A192E">
                    <w:rPr>
                      <w:sz w:val="28"/>
                    </w:rPr>
                    <w:t>a megfelelő diétát és béltisztítást követően rostmentes folyadékot ihat</w:t>
                  </w:r>
                  <w:r w:rsidRPr="00417B95">
                    <w:rPr>
                      <w:sz w:val="28"/>
                    </w:rPr>
                    <w:t>. Az egészségügyi személyzetet köteles tájékoztatni a komolyabb betegségeiről (cukorbetegség, magasvérnyomás, szívbillentyű betegség, terhesség), valamint az állandó gyógyszereiről (véralvadás gátlók, vérlemezke gátlók és allergia ellenes készítmények). Kerülje a vizsgálat előtti dohányzást, alkohol fogyasztást és nyugtatók szedését. A vizsgálatra kísérővel érkezzen.</w:t>
                  </w:r>
                </w:p>
                <w:p w:rsidR="007B0017" w:rsidRPr="00417B95" w:rsidRDefault="007B0017" w:rsidP="00C83B34">
                  <w:pPr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Vizsgálat után</w:t>
                  </w:r>
                </w:p>
                <w:p w:rsidR="007B0017" w:rsidRPr="00417B95" w:rsidRDefault="007B0017" w:rsidP="00E30F9F">
                  <w:pPr>
                    <w:spacing w:line="276" w:lineRule="auto"/>
                    <w:rPr>
                      <w:sz w:val="28"/>
                    </w:rPr>
                  </w:pPr>
                  <w:r w:rsidRPr="00417B95">
                    <w:rPr>
                      <w:sz w:val="28"/>
                    </w:rPr>
                    <w:t xml:space="preserve">Amennyiben kapott helyi érzéstelenítőt, ennek hatása kb. 1 órán keresztül tart. Ezen idő alatt kerülje az étel és folyadék fogyasztását, mivel  a hatása alatt nehezített a nyelés. Intravénás szer adása után tilos veszélyes munkakörben dolgozni, tilos </w:t>
                  </w:r>
                  <w:r w:rsidR="00C83B34">
                    <w:rPr>
                      <w:sz w:val="28"/>
                    </w:rPr>
                    <w:t xml:space="preserve">gépjárművet </w:t>
                  </w:r>
                  <w:r w:rsidRPr="00417B95">
                    <w:rPr>
                      <w:sz w:val="28"/>
                    </w:rPr>
                    <w:t>vezetni</w:t>
                  </w:r>
                  <w:r w:rsidR="00C83B34">
                    <w:rPr>
                      <w:sz w:val="28"/>
                    </w:rPr>
                    <w:t xml:space="preserve"> és egyedül tömegközlekedésben részvenni</w:t>
                  </w:r>
                  <w:r w:rsidRPr="00417B95">
                    <w:rPr>
                      <w:sz w:val="28"/>
                    </w:rPr>
                    <w:t xml:space="preserve"> a nap hátralevő részében, ezért a vizsgáltr</w:t>
                  </w:r>
                  <w:r w:rsidR="00E30F9F">
                    <w:rPr>
                      <w:sz w:val="28"/>
                    </w:rPr>
                    <w:t xml:space="preserve">a </w:t>
                  </w:r>
                  <w:r w:rsidR="00975F0D">
                    <w:rPr>
                      <w:sz w:val="28"/>
                    </w:rPr>
                    <w:t>feltétlenül</w:t>
                  </w:r>
                  <w:bookmarkStart w:id="0" w:name="_GoBack"/>
                  <w:bookmarkEnd w:id="0"/>
                  <w:r w:rsidR="00E30F9F">
                    <w:rPr>
                      <w:sz w:val="28"/>
                    </w:rPr>
                    <w:t xml:space="preserve"> kísérővel érkezzen. A vizsgálat napján nem ihat alkoholt, a vizsgálatot követően kiskoruak felügyeletét nem vállalhatja. </w:t>
                  </w:r>
                  <w:r w:rsidRPr="00417B95">
                    <w:rPr>
                      <w:sz w:val="28"/>
                    </w:rPr>
                    <w:t xml:space="preserve"> A vizsgálatot </w:t>
                  </w:r>
                  <w:r w:rsidR="00E30F9F">
                    <w:rPr>
                      <w:sz w:val="28"/>
                    </w:rPr>
                    <w:t>után</w:t>
                  </w:r>
                  <w:r w:rsidRPr="00417B95">
                    <w:rPr>
                      <w:sz w:val="28"/>
                    </w:rPr>
                    <w:t xml:space="preserve"> szükség lehet egy, vagy több napos kórházi bentfekvésre. </w:t>
                  </w:r>
                </w:p>
                <w:p w:rsidR="00AB16C9" w:rsidRPr="00417B95" w:rsidRDefault="00AB16C9" w:rsidP="00417B95">
                  <w:pPr>
                    <w:pStyle w:val="My"/>
                    <w:spacing w:line="276" w:lineRule="auto"/>
                    <w:jc w:val="both"/>
                    <w:rPr>
                      <w:rStyle w:val="sowc"/>
                      <w:color w:val="333333"/>
                      <w:sz w:val="22"/>
                      <w:lang w:val="en-US"/>
                    </w:rPr>
                  </w:pPr>
                </w:p>
                <w:p w:rsidR="00AB16C9" w:rsidRPr="00417B95" w:rsidRDefault="00AB16C9" w:rsidP="00417B95">
                  <w:pPr>
                    <w:pStyle w:val="MyHeadtitle"/>
                    <w:spacing w:line="276" w:lineRule="auto"/>
                    <w:rPr>
                      <w:color w:val="024BAD"/>
                      <w:sz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hu-HU" w:eastAsia="hu-HU"/>
        </w:rPr>
        <w:pict>
          <v:shape id="_x0000_s1308" type="#_x0000_t202" style="position:absolute;margin-left:483.95pt;margin-top:-53.1pt;width:149.25pt;height:851.95pt;z-index:-251655680;mso-wrap-style:none" strokecolor="white">
            <v:textbox style="mso-next-textbox:#_x0000_s1308;mso-fit-shape-to-text:t">
              <w:txbxContent>
                <w:p w:rsidR="004438DD" w:rsidRDefault="002B01B7" w:rsidP="00417B95">
                  <w:pPr>
                    <w:spacing w:line="276" w:lineRule="auto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560703" cy="10531366"/>
                        <wp:effectExtent l="19050" t="0" r="1397" b="0"/>
                        <wp:docPr id="1026" name="Kép 1026" descr="C:\Users\DEUS\Desktop\Procoredet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C:\Users\DEUS\Desktop\Procoredet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715" cy="10646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2B01B7" w:rsidP="0065314E">
      <w:pPr>
        <w:tabs>
          <w:tab w:val="left" w:pos="3300"/>
        </w:tabs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6078220</wp:posOffset>
            </wp:positionV>
            <wp:extent cx="7886700" cy="2160905"/>
            <wp:effectExtent l="19050" t="0" r="0" b="0"/>
            <wp:wrapNone/>
            <wp:docPr id="276" name="Kép 2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14E" w:rsidRPr="00084487">
        <w:tab/>
      </w:r>
    </w:p>
    <w:sectPr w:rsidR="00664743" w:rsidRPr="00084487" w:rsidSect="00E2560C">
      <w:headerReference w:type="default" r:id="rId12"/>
      <w:footerReference w:type="default" r:id="rId13"/>
      <w:pgSz w:w="11906" w:h="16838"/>
      <w:pgMar w:top="227" w:right="227" w:bottom="227" w:left="22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A6" w:rsidRDefault="00ED71A6">
      <w:r>
        <w:separator/>
      </w:r>
    </w:p>
  </w:endnote>
  <w:endnote w:type="continuationSeparator" w:id="0">
    <w:p w:rsidR="00ED71A6" w:rsidRDefault="00E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F" w:rsidRPr="00B3059B" w:rsidRDefault="00975F0D" w:rsidP="002D2E2F">
    <w:pPr>
      <w:pStyle w:val="llb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>
      <w:rPr>
        <w:rFonts w:ascii="Verdana" w:hAnsi="Verdana"/>
        <w:noProof/>
      </w:rPr>
      <w:pict>
        <v:line id="_x0000_s2055" style="position:absolute;left:0;text-align:left;z-index:251657728" from="18pt,-9.7pt" to="8in,-9.7pt"/>
      </w:pict>
    </w:r>
    <w:r w:rsidR="00664743" w:rsidRPr="00B3059B">
      <w:rPr>
        <w:rFonts w:ascii="Verdana" w:hAnsi="Verdana"/>
        <w:noProof/>
      </w:rPr>
      <w:t xml:space="preserve"> </w:t>
    </w:r>
    <w:r w:rsidR="00E14F81" w:rsidRPr="00B3059B">
      <w:rPr>
        <w:rFonts w:ascii="Verdana" w:hAnsi="Verdana"/>
        <w:noProof/>
      </w:rPr>
      <w:fldChar w:fldCharType="begin"/>
    </w:r>
    <w:r w:rsidR="00664743" w:rsidRPr="00B3059B">
      <w:rPr>
        <w:rFonts w:ascii="Verdana" w:hAnsi="Verdana"/>
        <w:noProof/>
      </w:rPr>
      <w:instrText xml:space="preserve"> PAGE </w:instrText>
    </w:r>
    <w:r w:rsidR="00E14F81" w:rsidRPr="00B3059B">
      <w:rPr>
        <w:rFonts w:ascii="Verdana" w:hAnsi="Verdana"/>
        <w:noProof/>
      </w:rPr>
      <w:fldChar w:fldCharType="separate"/>
    </w:r>
    <w:r>
      <w:rPr>
        <w:rFonts w:ascii="Verdana" w:hAnsi="Verdana"/>
        <w:noProof/>
      </w:rPr>
      <w:t>2</w:t>
    </w:r>
    <w:r w:rsidR="00E14F81" w:rsidRPr="00B3059B">
      <w:rPr>
        <w:rFonts w:ascii="Verdana" w:hAnsi="Verdana"/>
        <w:noProof/>
      </w:rPr>
      <w:fldChar w:fldCharType="end"/>
    </w:r>
    <w:r w:rsidR="00664743" w:rsidRPr="00B3059B">
      <w:rPr>
        <w:rFonts w:ascii="Verdana" w:hAnsi="Verdana"/>
        <w:noProof/>
      </w:rPr>
      <w:t xml:space="preserve"> </w:t>
    </w:r>
  </w:p>
  <w:p w:rsidR="00A80198" w:rsidRDefault="00A801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A6" w:rsidRDefault="00ED71A6">
      <w:r>
        <w:separator/>
      </w:r>
    </w:p>
  </w:footnote>
  <w:footnote w:type="continuationSeparator" w:id="0">
    <w:p w:rsidR="00ED71A6" w:rsidRDefault="00ED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2F" w:rsidRPr="00B3059B" w:rsidRDefault="002D2E2F" w:rsidP="002D2E2F">
    <w:pPr>
      <w:pStyle w:val="lfej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919E7"/>
    <w:multiLevelType w:val="hybridMultilevel"/>
    <w:tmpl w:val="BB4CC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4214"/>
    <w:multiLevelType w:val="hybridMultilevel"/>
    <w:tmpl w:val="4860EC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>
      <o:colormru v:ext="edit" colors="#002363,#196dc8,#cfcfd7,#3a71ca,#4e71b6,#7d96c9,#d9d9d5,#f1f1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8DD"/>
    <w:rsid w:val="000010CF"/>
    <w:rsid w:val="00005236"/>
    <w:rsid w:val="00011ED4"/>
    <w:rsid w:val="00021AB5"/>
    <w:rsid w:val="00084487"/>
    <w:rsid w:val="000A0B9C"/>
    <w:rsid w:val="000D1636"/>
    <w:rsid w:val="000E65FE"/>
    <w:rsid w:val="000F36F5"/>
    <w:rsid w:val="00120A74"/>
    <w:rsid w:val="00136B41"/>
    <w:rsid w:val="00142DE5"/>
    <w:rsid w:val="00151FD0"/>
    <w:rsid w:val="00165042"/>
    <w:rsid w:val="00170756"/>
    <w:rsid w:val="001918AD"/>
    <w:rsid w:val="00193891"/>
    <w:rsid w:val="00193B83"/>
    <w:rsid w:val="0019701D"/>
    <w:rsid w:val="001A17BC"/>
    <w:rsid w:val="001A60AA"/>
    <w:rsid w:val="001D70E8"/>
    <w:rsid w:val="00202C7F"/>
    <w:rsid w:val="0024495D"/>
    <w:rsid w:val="0024543C"/>
    <w:rsid w:val="00250EA6"/>
    <w:rsid w:val="00253D45"/>
    <w:rsid w:val="00261A7B"/>
    <w:rsid w:val="00266247"/>
    <w:rsid w:val="0027415D"/>
    <w:rsid w:val="00277ADB"/>
    <w:rsid w:val="002958FB"/>
    <w:rsid w:val="00297229"/>
    <w:rsid w:val="002A11DD"/>
    <w:rsid w:val="002B01B7"/>
    <w:rsid w:val="002C29A8"/>
    <w:rsid w:val="002C44A7"/>
    <w:rsid w:val="002C6C2F"/>
    <w:rsid w:val="002D2E2F"/>
    <w:rsid w:val="002D7284"/>
    <w:rsid w:val="002E7BDF"/>
    <w:rsid w:val="002F1A6B"/>
    <w:rsid w:val="00302927"/>
    <w:rsid w:val="00303521"/>
    <w:rsid w:val="00326E92"/>
    <w:rsid w:val="003425C7"/>
    <w:rsid w:val="003516E5"/>
    <w:rsid w:val="00356043"/>
    <w:rsid w:val="00374974"/>
    <w:rsid w:val="00395555"/>
    <w:rsid w:val="003A192E"/>
    <w:rsid w:val="003B5F34"/>
    <w:rsid w:val="003C7BC2"/>
    <w:rsid w:val="003D1B6B"/>
    <w:rsid w:val="003D4B08"/>
    <w:rsid w:val="003E3000"/>
    <w:rsid w:val="003E4F49"/>
    <w:rsid w:val="003E603D"/>
    <w:rsid w:val="003F320B"/>
    <w:rsid w:val="00417B95"/>
    <w:rsid w:val="00436B2C"/>
    <w:rsid w:val="00437201"/>
    <w:rsid w:val="00441F76"/>
    <w:rsid w:val="004438DD"/>
    <w:rsid w:val="004550DE"/>
    <w:rsid w:val="00456B8A"/>
    <w:rsid w:val="00472A30"/>
    <w:rsid w:val="00477487"/>
    <w:rsid w:val="0048460A"/>
    <w:rsid w:val="004931EC"/>
    <w:rsid w:val="004A61C2"/>
    <w:rsid w:val="004A73BF"/>
    <w:rsid w:val="004D6E72"/>
    <w:rsid w:val="004E792B"/>
    <w:rsid w:val="004F0CA9"/>
    <w:rsid w:val="004F173F"/>
    <w:rsid w:val="004F6FD5"/>
    <w:rsid w:val="0051301E"/>
    <w:rsid w:val="00540398"/>
    <w:rsid w:val="00540EAB"/>
    <w:rsid w:val="00550F55"/>
    <w:rsid w:val="00554A44"/>
    <w:rsid w:val="005608B9"/>
    <w:rsid w:val="0057122B"/>
    <w:rsid w:val="00575A7E"/>
    <w:rsid w:val="005929C2"/>
    <w:rsid w:val="005A31BE"/>
    <w:rsid w:val="005B1FD8"/>
    <w:rsid w:val="005B496C"/>
    <w:rsid w:val="005C4A56"/>
    <w:rsid w:val="005D5995"/>
    <w:rsid w:val="005D6C05"/>
    <w:rsid w:val="0060063C"/>
    <w:rsid w:val="00606388"/>
    <w:rsid w:val="00607EBC"/>
    <w:rsid w:val="00613870"/>
    <w:rsid w:val="00620AD1"/>
    <w:rsid w:val="00624168"/>
    <w:rsid w:val="00630DDE"/>
    <w:rsid w:val="0064034E"/>
    <w:rsid w:val="0065314E"/>
    <w:rsid w:val="00654B6C"/>
    <w:rsid w:val="00664743"/>
    <w:rsid w:val="006943ED"/>
    <w:rsid w:val="00695B18"/>
    <w:rsid w:val="006B053E"/>
    <w:rsid w:val="006B470F"/>
    <w:rsid w:val="006C3563"/>
    <w:rsid w:val="00713B5B"/>
    <w:rsid w:val="00721613"/>
    <w:rsid w:val="00731356"/>
    <w:rsid w:val="00762A65"/>
    <w:rsid w:val="0076568C"/>
    <w:rsid w:val="00766846"/>
    <w:rsid w:val="007717FC"/>
    <w:rsid w:val="00785EF6"/>
    <w:rsid w:val="007B0017"/>
    <w:rsid w:val="007D5AC1"/>
    <w:rsid w:val="008115FC"/>
    <w:rsid w:val="00815DCC"/>
    <w:rsid w:val="00817F7F"/>
    <w:rsid w:val="008319EF"/>
    <w:rsid w:val="00841063"/>
    <w:rsid w:val="008477D0"/>
    <w:rsid w:val="008523D8"/>
    <w:rsid w:val="00872419"/>
    <w:rsid w:val="0087278B"/>
    <w:rsid w:val="00887B35"/>
    <w:rsid w:val="00892F08"/>
    <w:rsid w:val="00894A08"/>
    <w:rsid w:val="008A10FA"/>
    <w:rsid w:val="008B75A8"/>
    <w:rsid w:val="008D5AE9"/>
    <w:rsid w:val="008D7151"/>
    <w:rsid w:val="008E246B"/>
    <w:rsid w:val="0090669D"/>
    <w:rsid w:val="00911927"/>
    <w:rsid w:val="00916CC1"/>
    <w:rsid w:val="0094182A"/>
    <w:rsid w:val="0095005D"/>
    <w:rsid w:val="00951CB8"/>
    <w:rsid w:val="00953A96"/>
    <w:rsid w:val="00964BA5"/>
    <w:rsid w:val="00975F0D"/>
    <w:rsid w:val="009A0F3E"/>
    <w:rsid w:val="009B11F6"/>
    <w:rsid w:val="009C09F5"/>
    <w:rsid w:val="009D0B4B"/>
    <w:rsid w:val="009E10A6"/>
    <w:rsid w:val="00A1297B"/>
    <w:rsid w:val="00A14C7C"/>
    <w:rsid w:val="00A308CE"/>
    <w:rsid w:val="00A36885"/>
    <w:rsid w:val="00A37E8F"/>
    <w:rsid w:val="00A53CA1"/>
    <w:rsid w:val="00A65A7C"/>
    <w:rsid w:val="00A80198"/>
    <w:rsid w:val="00A80207"/>
    <w:rsid w:val="00A8148B"/>
    <w:rsid w:val="00A973F5"/>
    <w:rsid w:val="00AB16C9"/>
    <w:rsid w:val="00AC0459"/>
    <w:rsid w:val="00AD55C1"/>
    <w:rsid w:val="00B02057"/>
    <w:rsid w:val="00B045C1"/>
    <w:rsid w:val="00B17751"/>
    <w:rsid w:val="00B267F5"/>
    <w:rsid w:val="00B3059B"/>
    <w:rsid w:val="00B30918"/>
    <w:rsid w:val="00B32E9E"/>
    <w:rsid w:val="00B551F0"/>
    <w:rsid w:val="00B62F80"/>
    <w:rsid w:val="00B75296"/>
    <w:rsid w:val="00B7740F"/>
    <w:rsid w:val="00B77902"/>
    <w:rsid w:val="00B877C6"/>
    <w:rsid w:val="00B940AE"/>
    <w:rsid w:val="00BE2C3F"/>
    <w:rsid w:val="00BE34C5"/>
    <w:rsid w:val="00BF37D2"/>
    <w:rsid w:val="00BF7934"/>
    <w:rsid w:val="00C1089B"/>
    <w:rsid w:val="00C21593"/>
    <w:rsid w:val="00C32ADB"/>
    <w:rsid w:val="00C562F4"/>
    <w:rsid w:val="00C751CB"/>
    <w:rsid w:val="00C83B34"/>
    <w:rsid w:val="00C875D7"/>
    <w:rsid w:val="00C90C16"/>
    <w:rsid w:val="00CC3E45"/>
    <w:rsid w:val="00CD3751"/>
    <w:rsid w:val="00CF4852"/>
    <w:rsid w:val="00CF7D70"/>
    <w:rsid w:val="00D05A04"/>
    <w:rsid w:val="00D14628"/>
    <w:rsid w:val="00D1568E"/>
    <w:rsid w:val="00D17480"/>
    <w:rsid w:val="00D278F8"/>
    <w:rsid w:val="00D32C3B"/>
    <w:rsid w:val="00D3445C"/>
    <w:rsid w:val="00D57674"/>
    <w:rsid w:val="00D80A18"/>
    <w:rsid w:val="00D83470"/>
    <w:rsid w:val="00DA0623"/>
    <w:rsid w:val="00DD7771"/>
    <w:rsid w:val="00DE25B7"/>
    <w:rsid w:val="00DE7193"/>
    <w:rsid w:val="00E00418"/>
    <w:rsid w:val="00E14069"/>
    <w:rsid w:val="00E14F81"/>
    <w:rsid w:val="00E2560C"/>
    <w:rsid w:val="00E30F9F"/>
    <w:rsid w:val="00E505B3"/>
    <w:rsid w:val="00E55666"/>
    <w:rsid w:val="00EA52CF"/>
    <w:rsid w:val="00ED71A6"/>
    <w:rsid w:val="00EE3315"/>
    <w:rsid w:val="00F0441F"/>
    <w:rsid w:val="00F36533"/>
    <w:rsid w:val="00F406CE"/>
    <w:rsid w:val="00F416B5"/>
    <w:rsid w:val="00F5435D"/>
    <w:rsid w:val="00F60BE9"/>
    <w:rsid w:val="00F610F3"/>
    <w:rsid w:val="00F61915"/>
    <w:rsid w:val="00FA66E5"/>
    <w:rsid w:val="00FB40E4"/>
    <w:rsid w:val="00FB435D"/>
    <w:rsid w:val="00FB6F08"/>
    <w:rsid w:val="00FB7CA7"/>
    <w:rsid w:val="00FE506B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2363,#196dc8,#cfcfd7,#3a71ca,#4e71b6,#7d96c9,#d9d9d5,#f1f1ef"/>
    </o:shapedefaults>
    <o:shapelayout v:ext="edit">
      <o:idmap v:ext="edit" data="1"/>
    </o:shapelayout>
  </w:shapeDefaults>
  <w:decimalSymbol w:val=","/>
  <w:listSeparator w:val=";"/>
  <w14:docId w14:val="4CA97B64"/>
  <w15:docId w15:val="{82F1A8C3-3850-4770-A8DD-C8BEF23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8B9"/>
    <w:rPr>
      <w:sz w:val="24"/>
      <w:szCs w:val="24"/>
      <w:lang w:val="en-US" w:eastAsia="ko-KR"/>
    </w:rPr>
  </w:style>
  <w:style w:type="paragraph" w:styleId="Cmsor1">
    <w:name w:val="heading 1"/>
    <w:basedOn w:val="Norml"/>
    <w:next w:val="Norm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Стиль1"/>
    <w:basedOn w:val="Norml"/>
    <w:rsid w:val="00D278F8"/>
  </w:style>
  <w:style w:type="paragraph" w:styleId="lfej">
    <w:name w:val="header"/>
    <w:basedOn w:val="Norml"/>
    <w:rsid w:val="007D5AC1"/>
    <w:pPr>
      <w:tabs>
        <w:tab w:val="center" w:pos="4677"/>
        <w:tab w:val="right" w:pos="9355"/>
      </w:tabs>
    </w:pPr>
  </w:style>
  <w:style w:type="paragraph" w:styleId="llb">
    <w:name w:val="footer"/>
    <w:basedOn w:val="Norm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Bekezdsalapbettpusa"/>
    <w:rsid w:val="001A17BC"/>
  </w:style>
  <w:style w:type="character" w:customStyle="1" w:styleId="howc">
    <w:name w:val="howc"/>
    <w:basedOn w:val="Bekezdsalapbettpusa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iperhivatkozs">
    <w:name w:val="Hyperlink"/>
    <w:basedOn w:val="Bekezdsalapbettpusa"/>
    <w:rsid w:val="00170756"/>
    <w:rPr>
      <w:color w:val="0000FF"/>
      <w:u w:val="single"/>
    </w:rPr>
  </w:style>
  <w:style w:type="paragraph" w:customStyle="1" w:styleId="MyHeadtitle">
    <w:name w:val="My Head title"/>
    <w:basedOn w:val="Cmsor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Oldalszm">
    <w:name w:val="page number"/>
    <w:basedOn w:val="Bekezdsalapbettpusa"/>
    <w:rsid w:val="00F0441F"/>
  </w:style>
  <w:style w:type="paragraph" w:styleId="Buborkszveg">
    <w:name w:val="Balloon Text"/>
    <w:basedOn w:val="Norml"/>
    <w:link w:val="BuborkszvegChar"/>
    <w:rsid w:val="009D0B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0B4B"/>
    <w:rPr>
      <w:rFonts w:ascii="Tahoma" w:hAnsi="Tahoma" w:cs="Tahoma"/>
      <w:sz w:val="16"/>
      <w:szCs w:val="16"/>
      <w:lang w:val="en-US" w:eastAsia="ko-KR"/>
    </w:rPr>
  </w:style>
  <w:style w:type="paragraph" w:customStyle="1" w:styleId="Default">
    <w:name w:val="Default"/>
    <w:rsid w:val="00FF78A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34"/>
    <w:qFormat/>
    <w:rsid w:val="00E14069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S\Desktop\&#193;di%20cuccai\onki%20doku\template-wor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13</TotalTime>
  <Pages>2</Pages>
  <Words>10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PowerPoint Template</vt:lpstr>
      <vt:lpstr>PowerPoint Template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DEUS</dc:creator>
  <cp:lastModifiedBy>endoscop</cp:lastModifiedBy>
  <cp:revision>8</cp:revision>
  <cp:lastPrinted>2014-01-20T18:19:00Z</cp:lastPrinted>
  <dcterms:created xsi:type="dcterms:W3CDTF">2014-02-15T17:51:00Z</dcterms:created>
  <dcterms:modified xsi:type="dcterms:W3CDTF">2020-08-26T07:03:00Z</dcterms:modified>
</cp:coreProperties>
</file>