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A5" w:rsidRPr="00084487" w:rsidRDefault="00B8082B" w:rsidP="007D5AC1"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-10.9pt;width:508.45pt;height:63pt;z-index:-251656704" filled="f" stroked="f" strokecolor="white">
            <v:textbox style="mso-next-textbox:#_x0000_s1027">
              <w:txbxContent>
                <w:p w:rsidR="00FA72A5" w:rsidRPr="00FB6BA1" w:rsidRDefault="00FA72A5" w:rsidP="00540EAB">
                  <w:pPr>
                    <w:rPr>
                      <w:rFonts w:ascii="Adobe Garamond Pro Bold" w:hAnsi="Adobe Garamond Pro Bold" w:cs="Aharoni"/>
                      <w:b/>
                      <w:i/>
                      <w:shadow/>
                      <w:sz w:val="44"/>
                      <w:szCs w:val="44"/>
                    </w:rPr>
                  </w:pPr>
                  <w:proofErr w:type="spellStart"/>
                  <w:r w:rsidRPr="00FB6BA1">
                    <w:rPr>
                      <w:rFonts w:ascii="Adobe Garamond Pro Bold" w:hAnsi="Adobe Garamond Pro Bold" w:cs="Aharoni"/>
                      <w:b/>
                      <w:i/>
                      <w:shadow/>
                      <w:sz w:val="44"/>
                      <w:szCs w:val="44"/>
                    </w:rPr>
                    <w:t>Endoszkóposultrahang</w:t>
                  </w:r>
                  <w:proofErr w:type="spellEnd"/>
                  <w:r w:rsidRPr="00FB6BA1">
                    <w:rPr>
                      <w:rFonts w:ascii="Adobe Garamond Pro Bold" w:hAnsi="Adobe Garamond Pro Bold" w:cs="Aharoni"/>
                      <w:b/>
                      <w:i/>
                      <w:shadow/>
                      <w:sz w:val="44"/>
                      <w:szCs w:val="44"/>
                    </w:rPr>
                    <w:t xml:space="preserve"> (EUH)EG-580UT</w:t>
                  </w:r>
                </w:p>
                <w:p w:rsidR="00FA72A5" w:rsidRPr="00FB6BA1" w:rsidRDefault="00FA72A5" w:rsidP="00540EAB">
                  <w:pPr>
                    <w:rPr>
                      <w:rFonts w:ascii="Adobe Garamond Pro Bold" w:hAnsi="Adobe Garamond Pro Bold" w:cs="Aharoni"/>
                      <w:b/>
                      <w:i/>
                      <w:shadow/>
                      <w:sz w:val="44"/>
                      <w:szCs w:val="44"/>
                    </w:rPr>
                  </w:pPr>
                  <w:proofErr w:type="spellStart"/>
                  <w:r w:rsidRPr="00FB6BA1">
                    <w:rPr>
                      <w:rFonts w:ascii="Adobe Garamond Pro Bold CE" w:hAnsi="Adobe Garamond Pro Bold CE" w:cs="Aharoni"/>
                      <w:b/>
                      <w:i/>
                      <w:shadow/>
                      <w:sz w:val="44"/>
                      <w:szCs w:val="44"/>
                    </w:rPr>
                    <w:t>tájékoztatóésbeleegyezőnyilatkozat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75" o:spid="_x0000_s1028" type="#_x0000_t75" alt="2" style="position:absolute;margin-left:-156.55pt;margin-top:-146.75pt;width:621pt;height:170.15pt;z-index:-251659776;visibility:visible">
            <v:imagedata r:id="rId7" o:title=""/>
          </v:shape>
        </w:pict>
      </w:r>
      <w:r>
        <w:rPr>
          <w:noProof/>
          <w:lang w:val="hu-HU" w:eastAsia="hu-HU"/>
        </w:rPr>
        <w:pict>
          <v:shape id="_x0000_s1029" type="#_x0000_t202" style="position:absolute;margin-left:456.7pt;margin-top:-40.5pt;width:116.5pt;height:90.25pt;z-index:251660800;mso-wrap-style:none" filled="f" stroked="f">
            <v:textbox style="mso-fit-shape-to-text:t">
              <w:txbxContent>
                <w:p w:rsidR="00FA72A5" w:rsidRDefault="00B8082B">
                  <w:r>
                    <w:rPr>
                      <w:noProof/>
                      <w:lang w:val="hu-HU" w:eastAsia="hu-HU"/>
                    </w:rPr>
                    <w:pict>
                      <v:shape id="Kép 1027" o:spid="_x0000_i1026" type="#_x0000_t75" style="width:78.75pt;height:1in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FA72A5" w:rsidRPr="00084487" w:rsidRDefault="00FA72A5" w:rsidP="00540EAB">
      <w:pPr>
        <w:tabs>
          <w:tab w:val="left" w:pos="7970"/>
        </w:tabs>
      </w:pPr>
      <w:r>
        <w:tab/>
      </w:r>
    </w:p>
    <w:p w:rsidR="00FA72A5" w:rsidRPr="00084487" w:rsidRDefault="00FA72A5" w:rsidP="007D5AC1"/>
    <w:p w:rsidR="00FA72A5" w:rsidRPr="00084487" w:rsidRDefault="00FA72A5" w:rsidP="007D5AC1"/>
    <w:p w:rsidR="00FA72A5" w:rsidRPr="00084487" w:rsidRDefault="00B8082B" w:rsidP="007D5AC1">
      <w:r>
        <w:rPr>
          <w:noProof/>
          <w:lang w:val="hu-HU" w:eastAsia="hu-HU"/>
        </w:rPr>
        <w:pict>
          <v:shape id="_x0000_s1030" type="#_x0000_t202" style="position:absolute;margin-left:9pt;margin-top:110.35pt;width:546.65pt;height:657pt;z-index:251655680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0;mso-column-margin:5.76pt" inset="2.88pt,2.88pt,2.88pt,2.88pt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64"/>
                    <w:gridCol w:w="2066"/>
                    <w:gridCol w:w="4824"/>
                  </w:tblGrid>
                  <w:tr w:rsidR="00FA72A5" w:rsidRPr="006D0F44">
                    <w:trPr>
                      <w:trHeight w:val="564"/>
                    </w:trPr>
                    <w:tc>
                      <w:tcPr>
                        <w:tcW w:w="4428" w:type="dxa"/>
                      </w:tcPr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proofErr w:type="spellStart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Név</w:t>
                        </w:r>
                        <w:proofErr w:type="spellEnd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48"/>
                        </w:tblGrid>
                        <w:tr w:rsidR="00F25B9A" w:rsidTr="009C2F8F">
                          <w:trPr>
                            <w:trHeight w:val="343"/>
                          </w:trPr>
                          <w:tc>
                            <w:tcPr>
                              <w:tcW w:w="4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25B9A" w:rsidRDefault="00F25B9A" w:rsidP="00F25B9A">
                              <w:pPr>
                                <w:tabs>
                                  <w:tab w:val="left" w:pos="567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  <w:tr w:rsidR="00F25B9A">
                          <w:tc>
                            <w:tcPr>
                              <w:tcW w:w="4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25B9A" w:rsidRDefault="00F25B9A" w:rsidP="00F25B9A">
                              <w:pPr>
                                <w:tabs>
                                  <w:tab w:val="left" w:pos="567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FA72A5" w:rsidRDefault="00B121BA" w:rsidP="00AD1D67">
                        <w:pPr>
                          <w:rPr>
                            <w:color w:val="000000"/>
                            <w:lang w:val="hu-HU" w:eastAsia="hu-HU"/>
                          </w:rPr>
                        </w:pPr>
                        <w:proofErr w:type="spellStart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Szül</w:t>
                        </w:r>
                        <w:proofErr w:type="spellEnd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: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hu-HU" w:eastAsia="hu-HU"/>
                          </w:rPr>
                          <w:t xml:space="preserve">   </w:t>
                        </w:r>
                      </w:p>
                      <w:p w:rsidR="00142730" w:rsidRPr="006D0F44" w:rsidRDefault="00142730" w:rsidP="00AD1D67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  <w:tbl>
                        <w:tblPr>
                          <w:tblW w:w="4433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42"/>
                          <w:gridCol w:w="2791"/>
                        </w:tblGrid>
                        <w:tr w:rsidR="0057172D" w:rsidRPr="006D0F44" w:rsidTr="0080656B">
                          <w:trPr>
                            <w:trHeight w:val="343"/>
                          </w:trPr>
                          <w:tc>
                            <w:tcPr>
                              <w:tcW w:w="27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7172D" w:rsidRPr="006D0F44" w:rsidRDefault="0057172D" w:rsidP="0080656B">
                              <w:pPr>
                                <w:tabs>
                                  <w:tab w:val="left" w:pos="567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0"/>
                                  <w:szCs w:val="20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  <w:tr w:rsidR="0080656B" w:rsidTr="00134273">
                          <w:tc>
                            <w:tcPr>
                              <w:tcW w:w="16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0656B" w:rsidRDefault="0080656B" w:rsidP="0080656B"/>
                          </w:tc>
                          <w:tc>
                            <w:tcPr>
                              <w:tcW w:w="2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80656B" w:rsidRDefault="0080656B" w:rsidP="0080656B">
                              <w:pPr>
                                <w:tabs>
                                  <w:tab w:val="left" w:pos="567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FA72A5" w:rsidRPr="006D0F44" w:rsidRDefault="00FA72A5" w:rsidP="00142730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FA72A5" w:rsidRPr="006D0F44">
                    <w:trPr>
                      <w:trHeight w:val="629"/>
                    </w:trPr>
                    <w:tc>
                      <w:tcPr>
                        <w:tcW w:w="4428" w:type="dxa"/>
                      </w:tcPr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proofErr w:type="spellStart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Diagnózis</w:t>
                        </w:r>
                        <w:proofErr w:type="spellEnd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:</w:t>
                        </w:r>
                      </w:p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FA72A5" w:rsidRPr="006D0F44" w:rsidRDefault="00FA72A5" w:rsidP="0087278B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proofErr w:type="spellStart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Szúrásokszáma</w:t>
                        </w:r>
                        <w:proofErr w:type="spellEnd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: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FA72A5" w:rsidRPr="006D0F44" w:rsidRDefault="00F25B9A" w:rsidP="002F43DB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Dátum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:</w:t>
                        </w:r>
                        <w:r w:rsidR="002F43DB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</w:p>
                    </w:tc>
                  </w:tr>
                  <w:tr w:rsidR="00FA72A5" w:rsidRPr="006D0F44">
                    <w:tc>
                      <w:tcPr>
                        <w:tcW w:w="4428" w:type="dxa"/>
                      </w:tcPr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proofErr w:type="spellStart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Premedikáció</w:t>
                        </w:r>
                        <w:proofErr w:type="spellEnd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 xml:space="preserve">: </w:t>
                        </w:r>
                      </w:p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proofErr w:type="spellStart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DolarganBuscopanDormicumAtropin</w:t>
                        </w:r>
                        <w:proofErr w:type="spellEnd"/>
                      </w:p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 xml:space="preserve">FNA </w:t>
                        </w:r>
                        <w:proofErr w:type="spellStart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tű</w:t>
                        </w:r>
                        <w:proofErr w:type="spellEnd"/>
                      </w:p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 xml:space="preserve">  25G      22G      19G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proofErr w:type="spellStart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Egyéb</w:t>
                        </w:r>
                        <w:proofErr w:type="spellEnd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:</w:t>
                        </w:r>
                      </w:p>
                    </w:tc>
                  </w:tr>
                </w:tbl>
                <w:p w:rsidR="00FA72A5" w:rsidRPr="006D0F44" w:rsidRDefault="00FA72A5" w:rsidP="0026624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FA72A5" w:rsidRPr="006D0F44" w:rsidRDefault="00FA72A5" w:rsidP="00266247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D0F44">
                    <w:rPr>
                      <w:sz w:val="20"/>
                      <w:szCs w:val="20"/>
                    </w:rPr>
                    <w:t>□</w:t>
                  </w:r>
                  <w:proofErr w:type="spellStart"/>
                  <w:r w:rsidRPr="006D0F44">
                    <w:rPr>
                      <w:b/>
                      <w:sz w:val="20"/>
                      <w:szCs w:val="20"/>
                    </w:rPr>
                    <w:t>Megelőző</w:t>
                  </w:r>
                  <w:proofErr w:type="spellEnd"/>
                  <w:r w:rsidRPr="006D0F44">
                    <w:rPr>
                      <w:b/>
                      <w:sz w:val="20"/>
                      <w:szCs w:val="20"/>
                    </w:rPr>
                    <w:t xml:space="preserve"> EUH               </w:t>
                  </w:r>
                  <w:r w:rsidRPr="006D0F44">
                    <w:rPr>
                      <w:sz w:val="20"/>
                      <w:szCs w:val="20"/>
                    </w:rPr>
                    <w:t>□</w:t>
                  </w:r>
                  <w:r w:rsidRPr="006D0F44">
                    <w:rPr>
                      <w:b/>
                      <w:sz w:val="20"/>
                      <w:szCs w:val="20"/>
                    </w:rPr>
                    <w:t>ROSE</w:t>
                  </w:r>
                  <w:r w:rsidRPr="006D0F44">
                    <w:rPr>
                      <w:sz w:val="20"/>
                      <w:szCs w:val="20"/>
                    </w:rPr>
                    <w:t>□</w:t>
                  </w:r>
                  <w:r w:rsidRPr="006D0F4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D0F44">
                    <w:rPr>
                      <w:b/>
                      <w:sz w:val="20"/>
                      <w:szCs w:val="20"/>
                    </w:rPr>
                    <w:t>Cukorbetegség:................................................................</w:t>
                  </w:r>
                  <w:proofErr w:type="gramEnd"/>
                </w:p>
                <w:p w:rsidR="00FA72A5" w:rsidRPr="006D0F44" w:rsidRDefault="00FA72A5" w:rsidP="00266247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D0F44">
                    <w:rPr>
                      <w:sz w:val="20"/>
                      <w:szCs w:val="20"/>
                    </w:rPr>
                    <w:t>□</w:t>
                  </w:r>
                  <w:r w:rsidRPr="006D0F44">
                    <w:rPr>
                      <w:b/>
                      <w:sz w:val="20"/>
                      <w:szCs w:val="20"/>
                    </w:rPr>
                    <w:t xml:space="preserve">CAVE, ha </w:t>
                  </w:r>
                  <w:proofErr w:type="spellStart"/>
                  <w:r w:rsidRPr="006D0F44">
                    <w:rPr>
                      <w:b/>
                      <w:sz w:val="20"/>
                      <w:szCs w:val="20"/>
                    </w:rPr>
                    <w:t>igen</w:t>
                  </w:r>
                  <w:proofErr w:type="spellEnd"/>
                  <w:r w:rsidRPr="006D0F4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D0F44">
                    <w:rPr>
                      <w:b/>
                      <w:sz w:val="20"/>
                      <w:szCs w:val="20"/>
                    </w:rPr>
                    <w:t>mi:…</w:t>
                  </w:r>
                  <w:proofErr w:type="gramEnd"/>
                  <w:r w:rsidRPr="006D0F44">
                    <w:rPr>
                      <w:b/>
                      <w:sz w:val="20"/>
                      <w:szCs w:val="20"/>
                    </w:rPr>
                    <w:t>……………………………</w:t>
                  </w:r>
                  <w:r w:rsidRPr="006D0F44">
                    <w:rPr>
                      <w:sz w:val="20"/>
                      <w:szCs w:val="20"/>
                    </w:rPr>
                    <w:t>□</w:t>
                  </w:r>
                  <w:r w:rsidRPr="006D0F44">
                    <w:rPr>
                      <w:b/>
                      <w:sz w:val="20"/>
                      <w:szCs w:val="20"/>
                    </w:rPr>
                    <w:t>Véralvadásgátlógyógyszer:............................................</w:t>
                  </w:r>
                </w:p>
                <w:p w:rsidR="00FA72A5" w:rsidRPr="006D0F44" w:rsidRDefault="00FA72A5" w:rsidP="00266247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D0F44">
                    <w:rPr>
                      <w:sz w:val="20"/>
                      <w:szCs w:val="20"/>
                    </w:rPr>
                    <w:t>□</w:t>
                  </w:r>
                  <w:proofErr w:type="spellStart"/>
                  <w:r w:rsidRPr="006D0F44">
                    <w:rPr>
                      <w:b/>
                      <w:sz w:val="20"/>
                      <w:szCs w:val="20"/>
                    </w:rPr>
                    <w:t>Vérzékenység</w:t>
                  </w:r>
                  <w:r w:rsidRPr="006D0F44">
                    <w:rPr>
                      <w:sz w:val="20"/>
                      <w:szCs w:val="20"/>
                    </w:rPr>
                    <w:t>□</w:t>
                  </w:r>
                  <w:r w:rsidRPr="006D0F44">
                    <w:rPr>
                      <w:b/>
                      <w:sz w:val="20"/>
                      <w:szCs w:val="20"/>
                    </w:rPr>
                    <w:t>Zöldhályog</w:t>
                  </w:r>
                  <w:r w:rsidRPr="006D0F44">
                    <w:rPr>
                      <w:sz w:val="20"/>
                      <w:szCs w:val="20"/>
                    </w:rPr>
                    <w:t>□</w:t>
                  </w:r>
                  <w:r w:rsidRPr="006D0F44">
                    <w:rPr>
                      <w:b/>
                      <w:sz w:val="20"/>
                      <w:szCs w:val="20"/>
                    </w:rPr>
                    <w:t>Szívritmusszabályozó</w:t>
                  </w:r>
                  <w:proofErr w:type="spellEnd"/>
                </w:p>
                <w:p w:rsidR="00FA72A5" w:rsidRPr="006D0F44" w:rsidRDefault="00FA72A5" w:rsidP="00266247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75"/>
                    <w:gridCol w:w="1524"/>
                    <w:gridCol w:w="2068"/>
                    <w:gridCol w:w="1929"/>
                    <w:gridCol w:w="2758"/>
                  </w:tblGrid>
                  <w:tr w:rsidR="00FA72A5" w:rsidRPr="006D0F44">
                    <w:tc>
                      <w:tcPr>
                        <w:tcW w:w="2943" w:type="dxa"/>
                      </w:tcPr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proofErr w:type="spellStart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Vércsoport</w:t>
                        </w:r>
                        <w:proofErr w:type="spellEnd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:</w:t>
                        </w:r>
                      </w:p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INR: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PLT: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proofErr w:type="spellStart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Htk</w:t>
                        </w:r>
                        <w:proofErr w:type="spellEnd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: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A72A5" w:rsidRPr="006D0F44" w:rsidRDefault="00FA72A5" w:rsidP="005362A6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proofErr w:type="spellStart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Amiláz</w:t>
                        </w:r>
                        <w:proofErr w:type="spellEnd"/>
                        <w:r w:rsidRPr="006D0F44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:</w:t>
                        </w:r>
                      </w:p>
                    </w:tc>
                  </w:tr>
                </w:tbl>
                <w:p w:rsidR="00FA72A5" w:rsidRPr="006D0F44" w:rsidRDefault="00FA72A5" w:rsidP="00266247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FA72A5" w:rsidRPr="006D0F44" w:rsidRDefault="00FA72A5" w:rsidP="00286E9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D0F44">
                    <w:rPr>
                      <w:b/>
                      <w:i/>
                      <w:sz w:val="20"/>
                      <w:szCs w:val="20"/>
                    </w:rPr>
                    <w:t>Betegbeleegyezése</w:t>
                  </w:r>
                  <w:proofErr w:type="spellEnd"/>
                </w:p>
                <w:p w:rsidR="00FA72A5" w:rsidRPr="006D0F44" w:rsidRDefault="00FA72A5" w:rsidP="00286E99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6D0F44">
                    <w:rPr>
                      <w:sz w:val="20"/>
                      <w:szCs w:val="20"/>
                    </w:rPr>
                    <w:t>Ez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egy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jogi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dokumentum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kérjük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alaposan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nézze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át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!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Tudomásul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veszem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hogy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mai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napon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nem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vehetek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részt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aktívan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közlekedésben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nem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vezethetek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járművet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és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nem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dolgozhatok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veszélyes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munkahelyen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>. 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fenti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endoszkópos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eljárást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(EUH),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valamint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bármely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további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szükségessé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váló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eljárást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vagy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kezelést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kezelő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orvosom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teljes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mértékben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elmagyarázta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nekem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Választ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kaptam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minden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olyan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kérdésemre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amelyeket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fontosnak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tartottam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javasolt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eljárások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természetével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és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céljával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és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bennük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rejlő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kockázatokkal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és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lehetséges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komplikációikkal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kapcsolatban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Nincs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további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kérdésem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és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úgy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érzem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az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adott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tanácsadás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kielégítő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volt.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Ezért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miután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kellő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idő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állt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rendelkezésre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döntésem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megfontolására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ezennel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hozzájárulok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és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kérem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hogy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javasolteljárástvagykezeléstrajtamelvégezzék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!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Ezennelvéglegesenbeleegyezemabba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is, hogyazorvoselvégezzenbármelytovábbivagyrákövetkezőeljárástvagykezelést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vizsgálatsorán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amelyszükségesséválhat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vérzéscsillapítás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mintavétel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még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ha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nem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is volt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előrelátható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Beleegyezem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vérátömlesztésbe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is, ha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orvosilagszükséges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>.</w:t>
                  </w:r>
                </w:p>
                <w:p w:rsidR="00FA72A5" w:rsidRPr="006D0F44" w:rsidRDefault="00FA72A5" w:rsidP="00286E99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6D0F44">
                    <w:rPr>
                      <w:sz w:val="20"/>
                      <w:szCs w:val="20"/>
                    </w:rPr>
                    <w:t>Kérem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és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ezennel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hozzájárulok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hogy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rajtam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tervezett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endoscopos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beavatkozást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kezelőorvos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által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javasolt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komplex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bódítást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és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fájdalomcsillapítást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szolgáló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gyógyszeres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előkezelés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segítségével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végezzék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el,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pulzoxyméteres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ellenőrzés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mellett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az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eközben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szükségessé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váló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eszközös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vizsgálatokat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beavatkozásokat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végrehajtsák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és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beavatkozás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közben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felmerülő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újabb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szakmai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szempontoknak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megfelelően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szükség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esetén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bódítás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és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fájdalomcsillapítás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módszerén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változtassanak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>.</w:t>
                  </w:r>
                </w:p>
                <w:p w:rsidR="00FA72A5" w:rsidRDefault="00FA72A5" w:rsidP="0026624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FA72A5" w:rsidRPr="006D0F44" w:rsidRDefault="008A5EE0" w:rsidP="0026624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Budapest,2020</w:t>
                  </w:r>
                  <w:r w:rsidR="009B6676">
                    <w:rPr>
                      <w:sz w:val="20"/>
                      <w:szCs w:val="20"/>
                    </w:rPr>
                    <w:t xml:space="preserve"> </w:t>
                  </w:r>
                </w:p>
                <w:p w:rsidR="00FA72A5" w:rsidRPr="006D0F44" w:rsidRDefault="00FA72A5" w:rsidP="00266247">
                  <w:pPr>
                    <w:rPr>
                      <w:sz w:val="20"/>
                      <w:szCs w:val="20"/>
                    </w:rPr>
                  </w:pPr>
                  <w:r w:rsidRPr="006D0F44">
                    <w:rPr>
                      <w:sz w:val="20"/>
                      <w:szCs w:val="20"/>
                    </w:rPr>
                    <w:t>…………………………………                                                       ………………………………..</w:t>
                  </w:r>
                </w:p>
                <w:p w:rsidR="00FA72A5" w:rsidRDefault="00FA72A5" w:rsidP="0026624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D0F44">
                    <w:rPr>
                      <w:sz w:val="20"/>
                      <w:szCs w:val="20"/>
                    </w:rPr>
                    <w:t>Hely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dátum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idő</w:t>
                  </w:r>
                  <w:proofErr w:type="spell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Betegaláírása</w:t>
                  </w:r>
                  <w:proofErr w:type="spellEnd"/>
                </w:p>
                <w:p w:rsidR="00FA72A5" w:rsidRPr="006D0F44" w:rsidRDefault="00FA72A5" w:rsidP="00266247">
                  <w:pPr>
                    <w:rPr>
                      <w:sz w:val="20"/>
                      <w:szCs w:val="20"/>
                    </w:rPr>
                  </w:pPr>
                </w:p>
                <w:p w:rsidR="00FA72A5" w:rsidRPr="006D0F44" w:rsidRDefault="00FA72A5" w:rsidP="00266247">
                  <w:pPr>
                    <w:rPr>
                      <w:sz w:val="20"/>
                      <w:szCs w:val="20"/>
                    </w:rPr>
                  </w:pPr>
                  <w:r w:rsidRPr="006D0F44">
                    <w:rPr>
                      <w:sz w:val="20"/>
                      <w:szCs w:val="20"/>
                    </w:rPr>
                    <w:t>………………………………                                                       ………………………………..</w:t>
                  </w:r>
                </w:p>
                <w:p w:rsidR="00FA72A5" w:rsidRPr="006D0F44" w:rsidRDefault="00FA72A5" w:rsidP="0026624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D0F44">
                    <w:rPr>
                      <w:sz w:val="20"/>
                      <w:szCs w:val="20"/>
                    </w:rPr>
                    <w:t>Vizsgálóorvos</w:t>
                  </w:r>
                  <w:proofErr w:type="spellEnd"/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Vizsgálóasszisztens</w:t>
                  </w:r>
                  <w:proofErr w:type="spellEnd"/>
                </w:p>
                <w:p w:rsidR="00FA72A5" w:rsidRPr="006D0F44" w:rsidRDefault="00FA72A5" w:rsidP="00266247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FA72A5" w:rsidRPr="006D0F44" w:rsidRDefault="00FA72A5" w:rsidP="00266247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6D0F44">
                    <w:rPr>
                      <w:b/>
                      <w:i/>
                      <w:sz w:val="20"/>
                      <w:szCs w:val="20"/>
                    </w:rPr>
                    <w:t>Beleegyezésmegtagadásaesetén</w:t>
                  </w:r>
                  <w:proofErr w:type="spellEnd"/>
                </w:p>
                <w:p w:rsidR="00FA72A5" w:rsidRPr="006D0F44" w:rsidRDefault="00FA72A5" w:rsidP="0026624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6D0F44">
                    <w:rPr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konzultáció</w:t>
                  </w:r>
                  <w:proofErr w:type="spellEnd"/>
                  <w:r w:rsidR="003A009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után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beteg</w:t>
                  </w:r>
                  <w:proofErr w:type="spellEnd"/>
                  <w:r w:rsidR="003A009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megtagadta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javasolt</w:t>
                  </w:r>
                  <w:proofErr w:type="spellEnd"/>
                  <w:r w:rsidR="003A009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eljárásba</w:t>
                  </w:r>
                  <w:proofErr w:type="spellEnd"/>
                  <w:r w:rsidR="003A009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való</w:t>
                  </w:r>
                  <w:proofErr w:type="spellEnd"/>
                  <w:r w:rsidR="003A009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beleegyezését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 xml:space="preserve">. 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beteg</w:t>
                  </w:r>
                  <w:proofErr w:type="spellEnd"/>
                  <w:r w:rsidR="003A009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tájékoztatást</w:t>
                  </w:r>
                  <w:proofErr w:type="spellEnd"/>
                  <w:r w:rsidR="003A009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kapott</w:t>
                  </w:r>
                  <w:proofErr w:type="spellEnd"/>
                  <w:r w:rsidR="003A0097">
                    <w:rPr>
                      <w:sz w:val="20"/>
                      <w:szCs w:val="20"/>
                    </w:rPr>
                    <w:t xml:space="preserve"> </w:t>
                  </w:r>
                  <w:r w:rsidRPr="006D0F44">
                    <w:rPr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visszautasítás</w:t>
                  </w:r>
                  <w:proofErr w:type="spellEnd"/>
                  <w:r w:rsidR="003A009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miatt</w:t>
                  </w:r>
                  <w:proofErr w:type="spellEnd"/>
                  <w:r w:rsidR="003A009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lehetséges</w:t>
                  </w:r>
                  <w:proofErr w:type="spellEnd"/>
                  <w:r w:rsidR="003A009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következményekről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>.</w:t>
                  </w:r>
                </w:p>
                <w:p w:rsidR="00FA72A5" w:rsidRPr="006D0F44" w:rsidRDefault="00FA72A5" w:rsidP="00266247">
                  <w:pPr>
                    <w:rPr>
                      <w:sz w:val="20"/>
                      <w:szCs w:val="20"/>
                    </w:rPr>
                  </w:pPr>
                  <w:r w:rsidRPr="006D0F44">
                    <w:rPr>
                      <w:sz w:val="20"/>
                      <w:szCs w:val="20"/>
                    </w:rPr>
                    <w:t>…………………………………                                                        ………………………………..</w:t>
                  </w:r>
                </w:p>
                <w:p w:rsidR="00FA72A5" w:rsidRPr="006D0F44" w:rsidRDefault="00FA72A5" w:rsidP="0026624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D0F44">
                    <w:rPr>
                      <w:sz w:val="20"/>
                      <w:szCs w:val="20"/>
                    </w:rPr>
                    <w:t>Hely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dátum</w:t>
                  </w:r>
                  <w:proofErr w:type="spellEnd"/>
                  <w:r w:rsidRPr="006D0F44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D0F44">
                    <w:rPr>
                      <w:sz w:val="20"/>
                      <w:szCs w:val="20"/>
                    </w:rPr>
                    <w:t>időBetegaláírása</w:t>
                  </w:r>
                  <w:proofErr w:type="spellEnd"/>
                </w:p>
                <w:p w:rsidR="00FA72A5" w:rsidRPr="006D0F44" w:rsidRDefault="00FA72A5" w:rsidP="00151FD0">
                  <w:pPr>
                    <w:pStyle w:val="MyHeadtitle"/>
                    <w:rPr>
                      <w:color w:val="FFFFFF"/>
                      <w:sz w:val="20"/>
                      <w:szCs w:val="20"/>
                    </w:rPr>
                  </w:pPr>
                </w:p>
                <w:p w:rsidR="00FA72A5" w:rsidRPr="00E34D55" w:rsidRDefault="00FA72A5" w:rsidP="00151FD0">
                  <w:pPr>
                    <w:pStyle w:val="My"/>
                    <w:jc w:val="both"/>
                    <w:rPr>
                      <w:rStyle w:val="sowc"/>
                      <w:rFonts w:cs="Arial"/>
                      <w:b/>
                      <w:color w:val="993366"/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606388">
      <w:pPr>
        <w:tabs>
          <w:tab w:val="left" w:pos="9012"/>
        </w:tabs>
      </w:pPr>
      <w:r w:rsidRPr="00084487">
        <w:tab/>
      </w:r>
    </w:p>
    <w:p w:rsidR="00FA72A5" w:rsidRPr="00084487" w:rsidRDefault="00FA72A5" w:rsidP="007D5AC1"/>
    <w:p w:rsidR="00FA72A5" w:rsidRPr="00084487" w:rsidRDefault="00B8082B" w:rsidP="007D5AC1">
      <w:r>
        <w:rPr>
          <w:noProof/>
          <w:lang w:val="hu-HU" w:eastAsia="hu-HU"/>
        </w:rPr>
        <w:lastRenderedPageBreak/>
        <w:pict>
          <v:shape id="_x0000_s1031" type="#_x0000_t202" style="position:absolute;margin-left:9.95pt;margin-top:6.2pt;width:516.4pt;height:840.4pt;z-index:251654656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1;mso-column-margin:5.76pt" inset="2.88pt,2.88pt,2.88pt,2.88pt">
              <w:txbxContent>
                <w:p w:rsidR="00FA72A5" w:rsidRDefault="00FA72A5" w:rsidP="00417B95">
                  <w:pPr>
                    <w:spacing w:line="276" w:lineRule="auto"/>
                    <w:rPr>
                      <w:b/>
                      <w:color w:val="244061"/>
                      <w:sz w:val="20"/>
                      <w:szCs w:val="20"/>
                    </w:rPr>
                  </w:pPr>
                </w:p>
                <w:p w:rsidR="00FA72A5" w:rsidRDefault="00FA72A5" w:rsidP="00417B95">
                  <w:pPr>
                    <w:spacing w:line="276" w:lineRule="auto"/>
                    <w:rPr>
                      <w:b/>
                      <w:color w:val="244061"/>
                      <w:sz w:val="20"/>
                      <w:szCs w:val="20"/>
                    </w:rPr>
                  </w:pPr>
                </w:p>
                <w:p w:rsidR="00FA72A5" w:rsidRDefault="00FA72A5" w:rsidP="00417B95">
                  <w:pPr>
                    <w:spacing w:line="276" w:lineRule="auto"/>
                    <w:rPr>
                      <w:b/>
                      <w:color w:val="244061"/>
                      <w:sz w:val="20"/>
                      <w:szCs w:val="20"/>
                    </w:rPr>
                  </w:pPr>
                </w:p>
                <w:p w:rsidR="00FA72A5" w:rsidRDefault="00FA72A5" w:rsidP="00417B95">
                  <w:pPr>
                    <w:spacing w:line="276" w:lineRule="auto"/>
                    <w:rPr>
                      <w:b/>
                      <w:color w:val="244061"/>
                      <w:sz w:val="20"/>
                      <w:szCs w:val="20"/>
                    </w:rPr>
                  </w:pPr>
                </w:p>
                <w:p w:rsidR="00FA72A5" w:rsidRPr="00B8082B" w:rsidRDefault="00FA72A5" w:rsidP="00417B95">
                  <w:pPr>
                    <w:spacing w:line="276" w:lineRule="auto"/>
                    <w:rPr>
                      <w:b/>
                      <w:color w:val="244061"/>
                      <w:sz w:val="26"/>
                      <w:szCs w:val="26"/>
                    </w:rPr>
                  </w:pPr>
                  <w:r w:rsidRPr="00B8082B">
                    <w:rPr>
                      <w:b/>
                      <w:color w:val="244061"/>
                      <w:sz w:val="26"/>
                      <w:szCs w:val="26"/>
                    </w:rPr>
                    <w:t xml:space="preserve">A </w:t>
                  </w:r>
                  <w:proofErr w:type="spellStart"/>
                  <w:r w:rsidRPr="00B8082B">
                    <w:rPr>
                      <w:b/>
                      <w:color w:val="244061"/>
                      <w:sz w:val="26"/>
                      <w:szCs w:val="26"/>
                    </w:rPr>
                    <w:t>vizsgálat</w:t>
                  </w:r>
                  <w:proofErr w:type="spellEnd"/>
                  <w:r w:rsidR="003A0097" w:rsidRPr="00B8082B">
                    <w:rPr>
                      <w:b/>
                      <w:color w:val="24406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A0097" w:rsidRPr="00B8082B">
                    <w:rPr>
                      <w:b/>
                      <w:color w:val="244061"/>
                      <w:sz w:val="26"/>
                      <w:szCs w:val="26"/>
                    </w:rPr>
                    <w:t>lényege</w:t>
                  </w:r>
                  <w:bookmarkStart w:id="0" w:name="_GoBack"/>
                  <w:bookmarkEnd w:id="0"/>
                  <w:proofErr w:type="spellEnd"/>
                </w:p>
                <w:p w:rsidR="00FA72A5" w:rsidRPr="00B8082B" w:rsidRDefault="00FA72A5" w:rsidP="00417B95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B8082B">
                    <w:rPr>
                      <w:sz w:val="26"/>
                      <w:szCs w:val="26"/>
                    </w:rPr>
                    <w:t>Az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A0097" w:rsidRPr="00B8082B">
                    <w:rPr>
                      <w:sz w:val="26"/>
                      <w:szCs w:val="26"/>
                    </w:rPr>
                    <w:t>u</w:t>
                  </w:r>
                  <w:r w:rsidRPr="00B8082B">
                    <w:rPr>
                      <w:sz w:val="26"/>
                      <w:szCs w:val="26"/>
                    </w:rPr>
                    <w:t>ltrahangos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endoszkópnál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egy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rendszerbe</w:t>
                  </w:r>
                  <w:r w:rsidR="003A0097" w:rsidRPr="00B8082B">
                    <w:rPr>
                      <w:sz w:val="26"/>
                      <w:szCs w:val="26"/>
                    </w:rPr>
                    <w:t>n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> 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integrálták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azultrahangos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diagnosztikus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kezelő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egységet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valamint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az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endoszkópos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digitalis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képalkotást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Ezzel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módszerrel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gyomor-bélrendszer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endoszkópos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vizsgálatán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túl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lehetőség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8082B">
                    <w:rPr>
                      <w:sz w:val="26"/>
                      <w:szCs w:val="26"/>
                    </w:rPr>
                    <w:t>van  a</w:t>
                  </w:r>
                  <w:proofErr w:type="gram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felső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vagy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also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emésztőtraktus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falának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valamint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szomszédos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szervek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ultrahangvizsgálatra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is,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mely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testfelszínen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keresztül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végzett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hasi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-,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vagy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kismedencei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ultrahangnál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pontosabb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részletgazdagabb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képet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nyújt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Az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endoszkópos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ultrahang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vizsgálat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során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detektált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elváltozásból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célzottan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tudunk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szövetmintát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nyerni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vékonytűaspirációscitológia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vagy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"true cut"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biopszia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>"</w:t>
                  </w:r>
                  <w:proofErr w:type="gramStart"/>
                  <w:r w:rsidRPr="00B8082B">
                    <w:rPr>
                      <w:sz w:val="26"/>
                      <w:szCs w:val="26"/>
                    </w:rPr>
                    <w:t>) ,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mely</w:t>
                  </w:r>
                  <w:proofErr w:type="spellEnd"/>
                  <w:proofErr w:type="gram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elengedhetetlen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pontos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diagnosis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felállításához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Ezt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módszert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ma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már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széles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körben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alkalmazzák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különböző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nyelőcső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-,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mediastinalis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-,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tüdő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-,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gyomor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-,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hasnyálmirigy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-,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máj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A0097" w:rsidRPr="00B8082B">
                    <w:rPr>
                      <w:sz w:val="26"/>
                      <w:szCs w:val="26"/>
                    </w:rPr>
                    <w:t>daganatainál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diagnosztikus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lehetőségeken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kívül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lehetőség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van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terápiás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beavatkozásokra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mint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hasnyálmirigy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pszeudociszta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punctió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cisztogasztrosztóma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cöliakia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plexus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neurolízis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epeúti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drenázs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elvégzésre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is.  </w:t>
                  </w:r>
                </w:p>
                <w:p w:rsidR="00FA72A5" w:rsidRPr="00B8082B" w:rsidRDefault="00FA72A5" w:rsidP="00417B95">
                  <w:pPr>
                    <w:spacing w:line="276" w:lineRule="auto"/>
                    <w:rPr>
                      <w:b/>
                      <w:color w:val="244061"/>
                      <w:sz w:val="26"/>
                      <w:szCs w:val="26"/>
                    </w:rPr>
                  </w:pPr>
                  <w:r w:rsidRPr="00B8082B">
                    <w:rPr>
                      <w:b/>
                      <w:color w:val="244061"/>
                      <w:sz w:val="26"/>
                      <w:szCs w:val="26"/>
                    </w:rPr>
                    <w:t xml:space="preserve">A </w:t>
                  </w:r>
                  <w:proofErr w:type="spellStart"/>
                  <w:r w:rsidRPr="00B8082B">
                    <w:rPr>
                      <w:b/>
                      <w:color w:val="244061"/>
                      <w:sz w:val="26"/>
                      <w:szCs w:val="26"/>
                    </w:rPr>
                    <w:t>beavatkozás</w:t>
                  </w:r>
                  <w:proofErr w:type="spellEnd"/>
                  <w:r w:rsidR="003A0097" w:rsidRPr="00B8082B">
                    <w:rPr>
                      <w:b/>
                      <w:color w:val="24406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A0097" w:rsidRPr="00B8082B">
                    <w:rPr>
                      <w:b/>
                      <w:color w:val="244061"/>
                      <w:sz w:val="26"/>
                      <w:szCs w:val="26"/>
                    </w:rPr>
                    <w:t>menete</w:t>
                  </w:r>
                  <w:proofErr w:type="spellEnd"/>
                </w:p>
                <w:p w:rsidR="003A0097" w:rsidRPr="00B8082B" w:rsidRDefault="003A0097" w:rsidP="003A0097">
                  <w:pPr>
                    <w:jc w:val="both"/>
                    <w:rPr>
                      <w:sz w:val="26"/>
                      <w:szCs w:val="26"/>
                    </w:rPr>
                  </w:pPr>
                  <w:r w:rsidRPr="00B8082B">
                    <w:rPr>
                      <w:sz w:val="26"/>
                      <w:szCs w:val="26"/>
                    </w:rPr>
                    <w:t xml:space="preserve">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beteg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vizsgálat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előtt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intravénás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nyugtató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>/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vagy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helyi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érzéstelenítő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adásában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részesül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mely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jelentősen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csökkenti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beavatkozás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alatt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jelentkező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szorongást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kellemetlen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panaszokat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beteg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vizsgálat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alatt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eszméleténél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van. 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Az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orvos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levezeti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hajlékony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endoszkópot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szájon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keresztül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 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Az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orvos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az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endoszkópos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asszisztensek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folyamatosan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figyeli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informálja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instruálja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beteget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ezért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kooperáció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nagyban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segíti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vizsgálatot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rövidíti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vizsgálatidejét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beavatkozás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kb. 10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perctől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120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percig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tarthat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beavatkozás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típusától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nehéz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ségétől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az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egyéni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variációktól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függően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</w:t>
                  </w:r>
                </w:p>
                <w:p w:rsidR="00FA72A5" w:rsidRPr="00B8082B" w:rsidRDefault="00FA72A5" w:rsidP="00417B95">
                  <w:pPr>
                    <w:spacing w:line="276" w:lineRule="auto"/>
                    <w:rPr>
                      <w:b/>
                      <w:color w:val="244061"/>
                      <w:sz w:val="26"/>
                      <w:szCs w:val="26"/>
                    </w:rPr>
                  </w:pPr>
                  <w:proofErr w:type="spellStart"/>
                  <w:r w:rsidRPr="00B8082B">
                    <w:rPr>
                      <w:b/>
                      <w:color w:val="244061"/>
                      <w:sz w:val="26"/>
                      <w:szCs w:val="26"/>
                    </w:rPr>
                    <w:t>Lehetséges</w:t>
                  </w:r>
                  <w:proofErr w:type="spellEnd"/>
                  <w:r w:rsidR="003A0097" w:rsidRPr="00B8082B">
                    <w:rPr>
                      <w:b/>
                      <w:color w:val="24406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b/>
                      <w:color w:val="244061"/>
                      <w:sz w:val="26"/>
                      <w:szCs w:val="26"/>
                    </w:rPr>
                    <w:t>komplikációk</w:t>
                  </w:r>
                  <w:proofErr w:type="spellEnd"/>
                </w:p>
                <w:p w:rsidR="00FA72A5" w:rsidRPr="00B8082B" w:rsidRDefault="00FA72A5" w:rsidP="00C83B34">
                  <w:pPr>
                    <w:rPr>
                      <w:sz w:val="26"/>
                      <w:szCs w:val="26"/>
                    </w:rPr>
                  </w:pPr>
                  <w:r w:rsidRPr="00B8082B">
                    <w:rPr>
                      <w:sz w:val="26"/>
                      <w:szCs w:val="26"/>
                    </w:rPr>
                    <w:t xml:space="preserve">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vizsgálat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után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jelentkező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panaszok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legtöbbször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hányinger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hasi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diszkomfort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melyek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enyhék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pár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óra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alatt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megszűnnek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vizsgálattal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összefüggő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súlyoskomplikációk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úgy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mint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vérzés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perforáció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kardiopulmonáris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események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ritkák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előfordulásuk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1%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alatt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van. 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vékonytű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aspirációs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mintavétel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kapcsán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ritkán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mediasztinum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gyulladása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(&lt;1%),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hasnyálmirigy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gyulladás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(2-3%),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vagy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fertőzés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(&lt;1</w:t>
                  </w:r>
                  <w:proofErr w:type="gramStart"/>
                  <w:r w:rsidRPr="00B8082B">
                    <w:rPr>
                      <w:sz w:val="26"/>
                      <w:szCs w:val="26"/>
                    </w:rPr>
                    <w:t xml:space="preserve">%) 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alakulhat</w:t>
                  </w:r>
                  <w:proofErr w:type="spellEnd"/>
                  <w:proofErr w:type="gram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Plexus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neurolízis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kapcsán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átmeneti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hasmenés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(4-15%),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átmeneti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szédülés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(1%),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vagy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hasifájdalom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(9%)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jelentkezhet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Amennyiben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súlyos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komplikáció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alakul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lehetséges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hogy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sürgős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sebészeti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beavatkozásra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van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szükség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 </w:t>
                  </w:r>
                </w:p>
                <w:p w:rsidR="00FA72A5" w:rsidRPr="00B8082B" w:rsidRDefault="00FA72A5" w:rsidP="00C83B34">
                  <w:pPr>
                    <w:rPr>
                      <w:b/>
                      <w:color w:val="244061"/>
                      <w:sz w:val="26"/>
                      <w:szCs w:val="26"/>
                    </w:rPr>
                  </w:pPr>
                  <w:proofErr w:type="spellStart"/>
                  <w:r w:rsidRPr="00B8082B">
                    <w:rPr>
                      <w:b/>
                      <w:color w:val="244061"/>
                      <w:sz w:val="26"/>
                      <w:szCs w:val="26"/>
                    </w:rPr>
                    <w:t>Vizsgálat</w:t>
                  </w:r>
                  <w:proofErr w:type="spellEnd"/>
                  <w:r w:rsidR="003A0097" w:rsidRPr="00B8082B">
                    <w:rPr>
                      <w:b/>
                      <w:color w:val="24406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b/>
                      <w:color w:val="244061"/>
                      <w:sz w:val="26"/>
                      <w:szCs w:val="26"/>
                    </w:rPr>
                    <w:t>előtt</w:t>
                  </w:r>
                  <w:proofErr w:type="spellEnd"/>
                </w:p>
                <w:p w:rsidR="00FA72A5" w:rsidRPr="00B8082B" w:rsidRDefault="00FA72A5" w:rsidP="00E30F9F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B8082B">
                    <w:rPr>
                      <w:sz w:val="26"/>
                      <w:szCs w:val="26"/>
                    </w:rPr>
                    <w:t xml:space="preserve">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vizsgáltelőtt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6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óránkeresztül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nem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ehet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nem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ihat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Az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egészségügyi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személyzetet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köteles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tájékoztatni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komolyabb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betegségeiről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cukorbetegség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magasvérnyomás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szívbillentyűbetegség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terhesség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),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valamint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az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állandó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gyógyszereiről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véralvadásgátlók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vérlemezkegátlókésallergiaelleneskészítmények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).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Kerülje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vizsgálat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előtti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dohányzást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alkoholfogyasztást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nyugtatók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szedését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vizsgálatra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kísérővel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érkezzen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>.</w:t>
                  </w:r>
                </w:p>
                <w:p w:rsidR="00FA72A5" w:rsidRPr="00B8082B" w:rsidRDefault="00FA72A5" w:rsidP="00C83B34">
                  <w:pPr>
                    <w:rPr>
                      <w:b/>
                      <w:color w:val="244061"/>
                      <w:sz w:val="26"/>
                      <w:szCs w:val="26"/>
                    </w:rPr>
                  </w:pPr>
                  <w:proofErr w:type="spellStart"/>
                  <w:r w:rsidRPr="00B8082B">
                    <w:rPr>
                      <w:b/>
                      <w:color w:val="244061"/>
                      <w:sz w:val="26"/>
                      <w:szCs w:val="26"/>
                    </w:rPr>
                    <w:t>Vizsgálat</w:t>
                  </w:r>
                  <w:proofErr w:type="spellEnd"/>
                  <w:r w:rsidR="003A0097" w:rsidRPr="00B8082B">
                    <w:rPr>
                      <w:b/>
                      <w:color w:val="24406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b/>
                      <w:color w:val="244061"/>
                      <w:sz w:val="26"/>
                      <w:szCs w:val="26"/>
                    </w:rPr>
                    <w:t>után</w:t>
                  </w:r>
                  <w:proofErr w:type="spellEnd"/>
                </w:p>
                <w:p w:rsidR="000E7435" w:rsidRPr="00B8082B" w:rsidRDefault="00FA72A5" w:rsidP="000E7435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8082B">
                    <w:rPr>
                      <w:sz w:val="26"/>
                      <w:szCs w:val="26"/>
                    </w:rPr>
                    <w:t>Amennyiben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kapott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helyiérzéstelenítőt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ennek</w:t>
                  </w:r>
                  <w:proofErr w:type="spellEnd"/>
                  <w:r w:rsidR="001A4C7E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hatása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kb. 1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órán</w:t>
                  </w:r>
                  <w:proofErr w:type="spellEnd"/>
                  <w:r w:rsidR="001A4C7E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keresztül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tart.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Ezen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idő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alatt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kerülje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az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étel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folyadék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fogyasztását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proofErr w:type="gramStart"/>
                  <w:r w:rsidRPr="00B8082B">
                    <w:rPr>
                      <w:sz w:val="26"/>
                      <w:szCs w:val="26"/>
                    </w:rPr>
                    <w:t>mivel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 a</w:t>
                  </w:r>
                  <w:proofErr w:type="gram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hatása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alatt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nehezített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nyelés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Intravénás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A0097" w:rsidRPr="00B8082B">
                    <w:rPr>
                      <w:sz w:val="26"/>
                      <w:szCs w:val="26"/>
                    </w:rPr>
                    <w:t>szedáció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aután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tilos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veszélyes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munkakörben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dolgozni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tilos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gépjárművet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vezetni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és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egyedül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tömegközlekedésben</w:t>
                  </w:r>
                  <w:proofErr w:type="spellEnd"/>
                  <w:r w:rsidR="003A0097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rész</w:t>
                  </w:r>
                  <w:r w:rsidR="003A0097" w:rsidRPr="00B8082B">
                    <w:rPr>
                      <w:sz w:val="26"/>
                      <w:szCs w:val="26"/>
                    </w:rPr>
                    <w:t>t</w:t>
                  </w:r>
                  <w:r w:rsidR="001A4C7E" w:rsidRPr="00B8082B">
                    <w:rPr>
                      <w:sz w:val="26"/>
                      <w:szCs w:val="26"/>
                    </w:rPr>
                    <w:t>venni</w:t>
                  </w:r>
                  <w:proofErr w:type="spellEnd"/>
                  <w:r w:rsidR="001A4C7E" w:rsidRPr="00B8082B">
                    <w:rPr>
                      <w:sz w:val="26"/>
                      <w:szCs w:val="26"/>
                    </w:rPr>
                    <w:t xml:space="preserve"> a nap </w:t>
                  </w:r>
                  <w:proofErr w:type="spellStart"/>
                  <w:r w:rsidR="001A4C7E" w:rsidRPr="00B8082B">
                    <w:rPr>
                      <w:sz w:val="26"/>
                      <w:szCs w:val="26"/>
                    </w:rPr>
                    <w:t>hátralevőrészében</w:t>
                  </w:r>
                  <w:proofErr w:type="spellEnd"/>
                  <w:r w:rsidR="001A4C7E" w:rsidRPr="00B8082B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 w:rsidR="001A4C7E" w:rsidRPr="00B8082B">
                    <w:rPr>
                      <w:sz w:val="26"/>
                      <w:szCs w:val="26"/>
                    </w:rPr>
                    <w:t>Minedezen</w:t>
                  </w:r>
                  <w:proofErr w:type="spellEnd"/>
                  <w:r w:rsidR="001A4C7E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A4C7E" w:rsidRPr="00B8082B">
                    <w:rPr>
                      <w:sz w:val="26"/>
                      <w:szCs w:val="26"/>
                    </w:rPr>
                    <w:t>okokból</w:t>
                  </w:r>
                  <w:proofErr w:type="spellEnd"/>
                  <w:r w:rsidR="001A4C7E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A4C7E" w:rsidRPr="00B8082B">
                    <w:rPr>
                      <w:sz w:val="26"/>
                      <w:szCs w:val="26"/>
                    </w:rPr>
                    <w:t>kifolyólag</w:t>
                  </w:r>
                  <w:proofErr w:type="spellEnd"/>
                  <w:r w:rsidR="001A4C7E" w:rsidRPr="00B8082B">
                    <w:rPr>
                      <w:sz w:val="26"/>
                      <w:szCs w:val="26"/>
                    </w:rPr>
                    <w:t xml:space="preserve"> </w:t>
                  </w:r>
                  <w:r w:rsidRPr="00B8082B">
                    <w:rPr>
                      <w:sz w:val="26"/>
                      <w:szCs w:val="26"/>
                    </w:rPr>
                    <w:t xml:space="preserve">a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vizsgáltra</w:t>
                  </w:r>
                  <w:proofErr w:type="spellEnd"/>
                  <w:r w:rsidR="001A4C7E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8082B">
                    <w:rPr>
                      <w:sz w:val="26"/>
                      <w:szCs w:val="26"/>
                    </w:rPr>
                    <w:t>kísérővel</w:t>
                  </w:r>
                  <w:proofErr w:type="spellEnd"/>
                  <w:r w:rsidR="001A4C7E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A4C7E" w:rsidRPr="00B8082B">
                    <w:rPr>
                      <w:sz w:val="26"/>
                      <w:szCs w:val="26"/>
                    </w:rPr>
                    <w:t>kell</w:t>
                  </w:r>
                  <w:proofErr w:type="spellEnd"/>
                  <w:r w:rsidR="001A4C7E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A4C7E" w:rsidRPr="00B8082B">
                    <w:rPr>
                      <w:sz w:val="26"/>
                      <w:szCs w:val="26"/>
                    </w:rPr>
                    <w:t>érkezni</w:t>
                  </w:r>
                  <w:proofErr w:type="spellEnd"/>
                  <w:r w:rsidRPr="00B8082B">
                    <w:rPr>
                      <w:sz w:val="26"/>
                      <w:szCs w:val="26"/>
                    </w:rPr>
                    <w:t xml:space="preserve">. </w:t>
                  </w:r>
                  <w:r w:rsidR="000E7435" w:rsidRPr="00B8082B">
                    <w:rPr>
                      <w:sz w:val="26"/>
                      <w:szCs w:val="26"/>
                    </w:rPr>
                    <w:t xml:space="preserve">A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vizsgálat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utáns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szükség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lehet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egy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vagy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több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napos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kórházi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bentfekvésre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Ambulanter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vizsgálatot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követően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tilos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veszélyes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munkakörben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dolgozni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tilos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gépjárművet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="000E7435" w:rsidRPr="00B8082B">
                    <w:rPr>
                      <w:sz w:val="26"/>
                      <w:szCs w:val="26"/>
                    </w:rPr>
                    <w:t>vezetni,egyedül</w:t>
                  </w:r>
                  <w:proofErr w:type="spellEnd"/>
                  <w:proofErr w:type="gram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tömegközlekedésben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részvenni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. A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vizsgálat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napján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nem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ihat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alkoholt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kiskoruak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felügyeletét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nem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E7435" w:rsidRPr="00B8082B">
                    <w:rPr>
                      <w:sz w:val="26"/>
                      <w:szCs w:val="26"/>
                    </w:rPr>
                    <w:t>vállalhatja</w:t>
                  </w:r>
                  <w:proofErr w:type="spellEnd"/>
                  <w:r w:rsidR="000E7435" w:rsidRPr="00B8082B">
                    <w:rPr>
                      <w:sz w:val="26"/>
                      <w:szCs w:val="26"/>
                    </w:rPr>
                    <w:t xml:space="preserve">. </w:t>
                  </w:r>
                </w:p>
                <w:p w:rsidR="00FA72A5" w:rsidRPr="006D0F44" w:rsidRDefault="00FA72A5" w:rsidP="000E7435">
                  <w:pPr>
                    <w:spacing w:line="276" w:lineRule="auto"/>
                    <w:jc w:val="both"/>
                  </w:pPr>
                </w:p>
                <w:p w:rsidR="00FA72A5" w:rsidRPr="006D0F44" w:rsidRDefault="00FA72A5" w:rsidP="00417B95">
                  <w:pPr>
                    <w:pStyle w:val="My"/>
                    <w:spacing w:line="276" w:lineRule="auto"/>
                    <w:jc w:val="both"/>
                    <w:rPr>
                      <w:rStyle w:val="sowc"/>
                      <w:rFonts w:cs="Arial"/>
                      <w:color w:val="333333"/>
                      <w:lang w:val="en-US"/>
                    </w:rPr>
                  </w:pPr>
                </w:p>
                <w:p w:rsidR="00FA72A5" w:rsidRPr="006D0F44" w:rsidRDefault="00FA72A5" w:rsidP="00417B95">
                  <w:pPr>
                    <w:pStyle w:val="MyHeadtitle"/>
                    <w:spacing w:line="276" w:lineRule="auto"/>
                    <w:rPr>
                      <w:color w:val="024BAD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hu-HU" w:eastAsia="hu-HU"/>
        </w:rPr>
        <w:pict>
          <v:shape id="_x0000_s1032" type="#_x0000_t202" style="position:absolute;margin-left:483.95pt;margin-top:-53.1pt;width:149.25pt;height:851.95pt;z-index:-251657728;mso-wrap-style:none" strokecolor="white">
            <v:textbox style="mso-next-textbox:#_x0000_s1032;mso-fit-shape-to-text:t">
              <w:txbxContent>
                <w:p w:rsidR="00FA72A5" w:rsidRDefault="00B8082B" w:rsidP="00417B95">
                  <w:pPr>
                    <w:spacing w:line="276" w:lineRule="auto"/>
                  </w:pPr>
                  <w:r>
                    <w:rPr>
                      <w:noProof/>
                      <w:lang w:val="hu-HU" w:eastAsia="hu-HU"/>
                    </w:rPr>
                    <w:pict>
                      <v:shape id="Kép 1026" o:spid="_x0000_i1028" type="#_x0000_t75" style="width:136.5pt;height:843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FA72A5" w:rsidP="007D5AC1"/>
    <w:p w:rsidR="00FA72A5" w:rsidRPr="00084487" w:rsidRDefault="00B8082B" w:rsidP="0065314E">
      <w:pPr>
        <w:tabs>
          <w:tab w:val="left" w:pos="3300"/>
        </w:tabs>
      </w:pPr>
      <w:r>
        <w:rPr>
          <w:noProof/>
          <w:lang w:val="hu-HU" w:eastAsia="hu-HU"/>
        </w:rPr>
        <w:pict>
          <v:shape id="Kép 276" o:spid="_x0000_s1033" type="#_x0000_t75" alt="2" style="position:absolute;margin-left:-9pt;margin-top:478.6pt;width:621pt;height:170.15pt;z-index:-251658752;visibility:visible">
            <v:imagedata r:id="rId10" o:title=""/>
          </v:shape>
        </w:pict>
      </w:r>
      <w:r w:rsidR="00FA72A5" w:rsidRPr="00084487">
        <w:tab/>
      </w:r>
    </w:p>
    <w:sectPr w:rsidR="00FA72A5" w:rsidRPr="00084487" w:rsidSect="00E2560C">
      <w:headerReference w:type="default" r:id="rId11"/>
      <w:footerReference w:type="default" r:id="rId12"/>
      <w:pgSz w:w="11906" w:h="16838"/>
      <w:pgMar w:top="227" w:right="227" w:bottom="227" w:left="227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A5" w:rsidRDefault="00FA72A5">
      <w:r>
        <w:separator/>
      </w:r>
    </w:p>
  </w:endnote>
  <w:endnote w:type="continuationSeparator" w:id="0">
    <w:p w:rsidR="00FA72A5" w:rsidRDefault="00FA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haroni">
    <w:charset w:val="00"/>
    <w:family w:val="auto"/>
    <w:pitch w:val="variable"/>
    <w:sig w:usb0="00000807" w:usb1="00000000" w:usb2="00000000" w:usb3="00000000" w:csb0="00000023" w:csb1="00000000"/>
  </w:font>
  <w:font w:name="Adobe Garamond Pro Bold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A5" w:rsidRPr="00B3059B" w:rsidRDefault="00B8082B" w:rsidP="002D2E2F">
    <w:pPr>
      <w:pStyle w:val="llb"/>
      <w:tabs>
        <w:tab w:val="clear" w:pos="4677"/>
        <w:tab w:val="center" w:pos="2160"/>
      </w:tabs>
      <w:ind w:left="540" w:right="540"/>
      <w:jc w:val="right"/>
      <w:rPr>
        <w:rFonts w:ascii="Verdana" w:hAnsi="Verdana"/>
        <w:noProof/>
      </w:rPr>
    </w:pPr>
    <w:r>
      <w:rPr>
        <w:noProof/>
        <w:lang w:val="hu-HU" w:eastAsia="hu-HU"/>
      </w:rPr>
      <w:pict>
        <v:line id="_x0000_s2049" style="position:absolute;left:0;text-align:left;z-index:251660288" from="18pt,-9.7pt" to="8in,-9.7pt"/>
      </w:pict>
    </w:r>
    <w:r w:rsidR="00DA2137" w:rsidRPr="00B3059B">
      <w:rPr>
        <w:rFonts w:ascii="Verdana" w:hAnsi="Verdana"/>
        <w:noProof/>
      </w:rPr>
      <w:fldChar w:fldCharType="begin"/>
    </w:r>
    <w:r w:rsidR="00FA72A5" w:rsidRPr="00B3059B">
      <w:rPr>
        <w:rFonts w:ascii="Verdana" w:hAnsi="Verdana"/>
        <w:noProof/>
      </w:rPr>
      <w:instrText xml:space="preserve"> PAGE </w:instrText>
    </w:r>
    <w:r w:rsidR="00DA2137" w:rsidRPr="00B3059B">
      <w:rPr>
        <w:rFonts w:ascii="Verdana" w:hAnsi="Verdana"/>
        <w:noProof/>
      </w:rPr>
      <w:fldChar w:fldCharType="separate"/>
    </w:r>
    <w:r>
      <w:rPr>
        <w:rFonts w:ascii="Verdana" w:hAnsi="Verdana"/>
        <w:noProof/>
      </w:rPr>
      <w:t>2</w:t>
    </w:r>
    <w:r w:rsidR="00DA2137" w:rsidRPr="00B3059B">
      <w:rPr>
        <w:rFonts w:ascii="Verdana" w:hAnsi="Verdana"/>
        <w:noProof/>
      </w:rPr>
      <w:fldChar w:fldCharType="end"/>
    </w:r>
  </w:p>
  <w:p w:rsidR="00FA72A5" w:rsidRDefault="00FA72A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A5" w:rsidRDefault="00FA72A5">
      <w:r>
        <w:separator/>
      </w:r>
    </w:p>
  </w:footnote>
  <w:footnote w:type="continuationSeparator" w:id="0">
    <w:p w:rsidR="00FA72A5" w:rsidRDefault="00FA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A5" w:rsidRPr="00B3059B" w:rsidRDefault="00FA72A5" w:rsidP="002D2E2F">
    <w:pPr>
      <w:pStyle w:val="lfej"/>
      <w:ind w:left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8DD"/>
    <w:rsid w:val="000010CF"/>
    <w:rsid w:val="00005236"/>
    <w:rsid w:val="00011ED4"/>
    <w:rsid w:val="00021AB5"/>
    <w:rsid w:val="000262FB"/>
    <w:rsid w:val="00047F02"/>
    <w:rsid w:val="00051383"/>
    <w:rsid w:val="00084487"/>
    <w:rsid w:val="000A0B9C"/>
    <w:rsid w:val="000D1636"/>
    <w:rsid w:val="000E65FE"/>
    <w:rsid w:val="000E7435"/>
    <w:rsid w:val="000F36F5"/>
    <w:rsid w:val="00120A74"/>
    <w:rsid w:val="00134273"/>
    <w:rsid w:val="00136B41"/>
    <w:rsid w:val="00142730"/>
    <w:rsid w:val="00142DE5"/>
    <w:rsid w:val="00151FD0"/>
    <w:rsid w:val="00165042"/>
    <w:rsid w:val="00170756"/>
    <w:rsid w:val="00193891"/>
    <w:rsid w:val="00193B83"/>
    <w:rsid w:val="0019701D"/>
    <w:rsid w:val="001A17BC"/>
    <w:rsid w:val="001A4C7E"/>
    <w:rsid w:val="001A60AA"/>
    <w:rsid w:val="001D70E8"/>
    <w:rsid w:val="001F39DD"/>
    <w:rsid w:val="00202C7F"/>
    <w:rsid w:val="0024495D"/>
    <w:rsid w:val="0024543C"/>
    <w:rsid w:val="00250EA6"/>
    <w:rsid w:val="00253D45"/>
    <w:rsid w:val="00266247"/>
    <w:rsid w:val="0027415D"/>
    <w:rsid w:val="00277ADB"/>
    <w:rsid w:val="00286E99"/>
    <w:rsid w:val="00292E8F"/>
    <w:rsid w:val="00297229"/>
    <w:rsid w:val="002A11DD"/>
    <w:rsid w:val="002A553F"/>
    <w:rsid w:val="002B01B7"/>
    <w:rsid w:val="002B32E6"/>
    <w:rsid w:val="002B5DBA"/>
    <w:rsid w:val="002C29A8"/>
    <w:rsid w:val="002C44A7"/>
    <w:rsid w:val="002C6C2F"/>
    <w:rsid w:val="002C7228"/>
    <w:rsid w:val="002D2E2F"/>
    <w:rsid w:val="002D7284"/>
    <w:rsid w:val="002E7BDF"/>
    <w:rsid w:val="002F1A6B"/>
    <w:rsid w:val="002F43DB"/>
    <w:rsid w:val="00302927"/>
    <w:rsid w:val="00303521"/>
    <w:rsid w:val="00326E92"/>
    <w:rsid w:val="003425C7"/>
    <w:rsid w:val="003516E5"/>
    <w:rsid w:val="00356043"/>
    <w:rsid w:val="00374974"/>
    <w:rsid w:val="00380EE6"/>
    <w:rsid w:val="00395555"/>
    <w:rsid w:val="003A0097"/>
    <w:rsid w:val="003B5F34"/>
    <w:rsid w:val="003C7BC2"/>
    <w:rsid w:val="003D1B6B"/>
    <w:rsid w:val="003E3000"/>
    <w:rsid w:val="003E603D"/>
    <w:rsid w:val="003F320B"/>
    <w:rsid w:val="00417B95"/>
    <w:rsid w:val="004332B3"/>
    <w:rsid w:val="00436B2C"/>
    <w:rsid w:val="00437201"/>
    <w:rsid w:val="00441F76"/>
    <w:rsid w:val="004438DD"/>
    <w:rsid w:val="004550DE"/>
    <w:rsid w:val="00456B8A"/>
    <w:rsid w:val="00472A30"/>
    <w:rsid w:val="00477487"/>
    <w:rsid w:val="0048460A"/>
    <w:rsid w:val="004931EC"/>
    <w:rsid w:val="004A61C2"/>
    <w:rsid w:val="004A73BF"/>
    <w:rsid w:val="004D6E72"/>
    <w:rsid w:val="004F0CA9"/>
    <w:rsid w:val="004F173F"/>
    <w:rsid w:val="004F6FD5"/>
    <w:rsid w:val="0051301E"/>
    <w:rsid w:val="005362A6"/>
    <w:rsid w:val="00540398"/>
    <w:rsid w:val="00540EAB"/>
    <w:rsid w:val="00543F5C"/>
    <w:rsid w:val="00550F55"/>
    <w:rsid w:val="00554A44"/>
    <w:rsid w:val="005608B9"/>
    <w:rsid w:val="005676D8"/>
    <w:rsid w:val="0057122B"/>
    <w:rsid w:val="0057172D"/>
    <w:rsid w:val="00575A7E"/>
    <w:rsid w:val="005929C2"/>
    <w:rsid w:val="005A31BE"/>
    <w:rsid w:val="005B1FD8"/>
    <w:rsid w:val="005B4825"/>
    <w:rsid w:val="005B496C"/>
    <w:rsid w:val="005C4A56"/>
    <w:rsid w:val="005C4BAC"/>
    <w:rsid w:val="005D5995"/>
    <w:rsid w:val="005D6C05"/>
    <w:rsid w:val="0060063C"/>
    <w:rsid w:val="00606388"/>
    <w:rsid w:val="00607EBC"/>
    <w:rsid w:val="00613870"/>
    <w:rsid w:val="00617146"/>
    <w:rsid w:val="00620AD1"/>
    <w:rsid w:val="00624168"/>
    <w:rsid w:val="00630DDE"/>
    <w:rsid w:val="0064034E"/>
    <w:rsid w:val="0065314E"/>
    <w:rsid w:val="00654B6C"/>
    <w:rsid w:val="00664743"/>
    <w:rsid w:val="006943ED"/>
    <w:rsid w:val="006B053E"/>
    <w:rsid w:val="006B470F"/>
    <w:rsid w:val="006C3563"/>
    <w:rsid w:val="006D0F44"/>
    <w:rsid w:val="006E7684"/>
    <w:rsid w:val="00713B5B"/>
    <w:rsid w:val="00721613"/>
    <w:rsid w:val="0075071E"/>
    <w:rsid w:val="0076420B"/>
    <w:rsid w:val="0076568C"/>
    <w:rsid w:val="00766846"/>
    <w:rsid w:val="007717FC"/>
    <w:rsid w:val="00785EF6"/>
    <w:rsid w:val="007B0017"/>
    <w:rsid w:val="007D5AC1"/>
    <w:rsid w:val="0080656B"/>
    <w:rsid w:val="008115FC"/>
    <w:rsid w:val="00815DCC"/>
    <w:rsid w:val="00817F7F"/>
    <w:rsid w:val="008319EF"/>
    <w:rsid w:val="00841063"/>
    <w:rsid w:val="008477D0"/>
    <w:rsid w:val="008523D8"/>
    <w:rsid w:val="0086776F"/>
    <w:rsid w:val="00872419"/>
    <w:rsid w:val="0087278B"/>
    <w:rsid w:val="0088136E"/>
    <w:rsid w:val="00887B35"/>
    <w:rsid w:val="00891E85"/>
    <w:rsid w:val="00892F08"/>
    <w:rsid w:val="00894A08"/>
    <w:rsid w:val="008A10FA"/>
    <w:rsid w:val="008A5EE0"/>
    <w:rsid w:val="008B5438"/>
    <w:rsid w:val="008B75A8"/>
    <w:rsid w:val="008D5AE9"/>
    <w:rsid w:val="008D7151"/>
    <w:rsid w:val="0090669D"/>
    <w:rsid w:val="00911927"/>
    <w:rsid w:val="00916CC1"/>
    <w:rsid w:val="00923C4E"/>
    <w:rsid w:val="0094182A"/>
    <w:rsid w:val="0095005D"/>
    <w:rsid w:val="00951CB8"/>
    <w:rsid w:val="00953A96"/>
    <w:rsid w:val="00964BA5"/>
    <w:rsid w:val="00982DB0"/>
    <w:rsid w:val="00990210"/>
    <w:rsid w:val="009A0F3E"/>
    <w:rsid w:val="009B11F6"/>
    <w:rsid w:val="009B6676"/>
    <w:rsid w:val="009C09F5"/>
    <w:rsid w:val="009C2F8F"/>
    <w:rsid w:val="009D0B4B"/>
    <w:rsid w:val="009E10A6"/>
    <w:rsid w:val="009E7EC2"/>
    <w:rsid w:val="00A1297B"/>
    <w:rsid w:val="00A14C7C"/>
    <w:rsid w:val="00A308CE"/>
    <w:rsid w:val="00A36885"/>
    <w:rsid w:val="00A37E8F"/>
    <w:rsid w:val="00A53CA1"/>
    <w:rsid w:val="00A65A7C"/>
    <w:rsid w:val="00A70060"/>
    <w:rsid w:val="00A80198"/>
    <w:rsid w:val="00A80207"/>
    <w:rsid w:val="00A8148B"/>
    <w:rsid w:val="00A94A40"/>
    <w:rsid w:val="00A973F5"/>
    <w:rsid w:val="00AB16C9"/>
    <w:rsid w:val="00AB659A"/>
    <w:rsid w:val="00AC0459"/>
    <w:rsid w:val="00AD1D67"/>
    <w:rsid w:val="00AD55C1"/>
    <w:rsid w:val="00AF231B"/>
    <w:rsid w:val="00B02057"/>
    <w:rsid w:val="00B045C1"/>
    <w:rsid w:val="00B121BA"/>
    <w:rsid w:val="00B17751"/>
    <w:rsid w:val="00B267F5"/>
    <w:rsid w:val="00B3059B"/>
    <w:rsid w:val="00B30918"/>
    <w:rsid w:val="00B31004"/>
    <w:rsid w:val="00B32E9E"/>
    <w:rsid w:val="00B551F0"/>
    <w:rsid w:val="00B62F80"/>
    <w:rsid w:val="00B6775B"/>
    <w:rsid w:val="00B75296"/>
    <w:rsid w:val="00B7740F"/>
    <w:rsid w:val="00B77902"/>
    <w:rsid w:val="00B8082B"/>
    <w:rsid w:val="00B94742"/>
    <w:rsid w:val="00BE1932"/>
    <w:rsid w:val="00BE2C3F"/>
    <w:rsid w:val="00BE34C5"/>
    <w:rsid w:val="00BE5EE4"/>
    <w:rsid w:val="00BE6140"/>
    <w:rsid w:val="00BF37D2"/>
    <w:rsid w:val="00BF7934"/>
    <w:rsid w:val="00C1089B"/>
    <w:rsid w:val="00C20C72"/>
    <w:rsid w:val="00C21593"/>
    <w:rsid w:val="00C32ADB"/>
    <w:rsid w:val="00C562F4"/>
    <w:rsid w:val="00C751CB"/>
    <w:rsid w:val="00C83B34"/>
    <w:rsid w:val="00C875D7"/>
    <w:rsid w:val="00C90C16"/>
    <w:rsid w:val="00CB6D11"/>
    <w:rsid w:val="00CD3751"/>
    <w:rsid w:val="00CF4852"/>
    <w:rsid w:val="00CF7D70"/>
    <w:rsid w:val="00CF7E84"/>
    <w:rsid w:val="00D05A04"/>
    <w:rsid w:val="00D14628"/>
    <w:rsid w:val="00D1568E"/>
    <w:rsid w:val="00D1625F"/>
    <w:rsid w:val="00D17480"/>
    <w:rsid w:val="00D278F8"/>
    <w:rsid w:val="00D32C3B"/>
    <w:rsid w:val="00D3445C"/>
    <w:rsid w:val="00D57674"/>
    <w:rsid w:val="00D80A18"/>
    <w:rsid w:val="00D83470"/>
    <w:rsid w:val="00D92F0F"/>
    <w:rsid w:val="00DA2137"/>
    <w:rsid w:val="00DD7771"/>
    <w:rsid w:val="00DE25B7"/>
    <w:rsid w:val="00DE7193"/>
    <w:rsid w:val="00E00418"/>
    <w:rsid w:val="00E07CBF"/>
    <w:rsid w:val="00E2560C"/>
    <w:rsid w:val="00E30F9F"/>
    <w:rsid w:val="00E3203A"/>
    <w:rsid w:val="00E34D55"/>
    <w:rsid w:val="00E505B3"/>
    <w:rsid w:val="00E55666"/>
    <w:rsid w:val="00E85576"/>
    <w:rsid w:val="00EA52CF"/>
    <w:rsid w:val="00EA6222"/>
    <w:rsid w:val="00EE3315"/>
    <w:rsid w:val="00F0441F"/>
    <w:rsid w:val="00F13F46"/>
    <w:rsid w:val="00F25B9A"/>
    <w:rsid w:val="00F36533"/>
    <w:rsid w:val="00F406CE"/>
    <w:rsid w:val="00F416B5"/>
    <w:rsid w:val="00F5435D"/>
    <w:rsid w:val="00F60BE9"/>
    <w:rsid w:val="00F610F3"/>
    <w:rsid w:val="00F61915"/>
    <w:rsid w:val="00FA66E5"/>
    <w:rsid w:val="00FA72A5"/>
    <w:rsid w:val="00FB40E4"/>
    <w:rsid w:val="00FB435D"/>
    <w:rsid w:val="00FB6BA1"/>
    <w:rsid w:val="00FB7CA7"/>
    <w:rsid w:val="00FC36FC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CDFFBF"/>
  <w15:docId w15:val="{98A26BAB-AC79-4FED-98CE-39F257C2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8B9"/>
    <w:rPr>
      <w:sz w:val="24"/>
      <w:szCs w:val="24"/>
      <w:lang w:val="en-US" w:eastAsia="ko-KR"/>
    </w:rPr>
  </w:style>
  <w:style w:type="paragraph" w:styleId="Cmsor1">
    <w:name w:val="heading 1"/>
    <w:basedOn w:val="Norml"/>
    <w:next w:val="Norml"/>
    <w:link w:val="Cmsor1Char"/>
    <w:uiPriority w:val="99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137"/>
    <w:rPr>
      <w:rFonts w:ascii="Cambria" w:hAnsi="Cambria" w:cs="Times New Roman"/>
      <w:b/>
      <w:bCs/>
      <w:kern w:val="32"/>
      <w:sz w:val="32"/>
      <w:szCs w:val="32"/>
      <w:lang w:val="en-US" w:eastAsia="ko-KR"/>
    </w:rPr>
  </w:style>
  <w:style w:type="paragraph" w:customStyle="1" w:styleId="1">
    <w:name w:val="Стиль1"/>
    <w:basedOn w:val="Norml"/>
    <w:uiPriority w:val="99"/>
    <w:rsid w:val="00D278F8"/>
  </w:style>
  <w:style w:type="paragraph" w:styleId="lfej">
    <w:name w:val="header"/>
    <w:basedOn w:val="Norml"/>
    <w:link w:val="lfejCh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A2137"/>
    <w:rPr>
      <w:rFonts w:cs="Times New Roman"/>
      <w:sz w:val="24"/>
      <w:szCs w:val="24"/>
      <w:lang w:val="en-US" w:eastAsia="ko-KR"/>
    </w:rPr>
  </w:style>
  <w:style w:type="paragraph" w:styleId="llb">
    <w:name w:val="footer"/>
    <w:basedOn w:val="Norml"/>
    <w:link w:val="llbCh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A2137"/>
    <w:rPr>
      <w:rFonts w:cs="Times New Roman"/>
      <w:sz w:val="24"/>
      <w:szCs w:val="24"/>
      <w:lang w:val="en-US" w:eastAsia="ko-KR"/>
    </w:rPr>
  </w:style>
  <w:style w:type="character" w:customStyle="1" w:styleId="sowc">
    <w:name w:val="sowc"/>
    <w:basedOn w:val="Bekezdsalapbettpusa"/>
    <w:uiPriority w:val="99"/>
    <w:rsid w:val="001A17BC"/>
    <w:rPr>
      <w:rFonts w:cs="Times New Roman"/>
    </w:rPr>
  </w:style>
  <w:style w:type="character" w:customStyle="1" w:styleId="howc">
    <w:name w:val="howc"/>
    <w:basedOn w:val="Bekezdsalapbettpusa"/>
    <w:uiPriority w:val="99"/>
    <w:rsid w:val="001A17BC"/>
    <w:rPr>
      <w:rFonts w:cs="Times New Roman"/>
    </w:rPr>
  </w:style>
  <w:style w:type="paragraph" w:customStyle="1" w:styleId="My">
    <w:name w:val="My"/>
    <w:uiPriority w:val="99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iperhivatkozs">
    <w:name w:val="Hyperlink"/>
    <w:basedOn w:val="Bekezdsalapbettpusa"/>
    <w:uiPriority w:val="99"/>
    <w:rsid w:val="00170756"/>
    <w:rPr>
      <w:rFonts w:cs="Times New Roman"/>
      <w:color w:val="0000FF"/>
      <w:u w:val="single"/>
    </w:rPr>
  </w:style>
  <w:style w:type="paragraph" w:customStyle="1" w:styleId="MyHeadtitle">
    <w:name w:val="My Head title"/>
    <w:basedOn w:val="Cmsor1"/>
    <w:uiPriority w:val="99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uiPriority w:val="99"/>
    <w:rsid w:val="004F6FD5"/>
    <w:pPr>
      <w:jc w:val="right"/>
    </w:pPr>
    <w:rPr>
      <w:sz w:val="32"/>
    </w:rPr>
  </w:style>
  <w:style w:type="character" w:styleId="Oldalszm">
    <w:name w:val="page number"/>
    <w:basedOn w:val="Bekezdsalapbettpusa"/>
    <w:uiPriority w:val="99"/>
    <w:rsid w:val="00F0441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D0B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D0B4B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>KKK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subject/>
  <dc:creator>DEUS</dc:creator>
  <cp:keywords/>
  <dc:description/>
  <cp:lastModifiedBy>endoscop</cp:lastModifiedBy>
  <cp:revision>52</cp:revision>
  <cp:lastPrinted>2020-02-06T10:36:00Z</cp:lastPrinted>
  <dcterms:created xsi:type="dcterms:W3CDTF">2014-02-15T16:48:00Z</dcterms:created>
  <dcterms:modified xsi:type="dcterms:W3CDTF">2020-08-26T07:05:00Z</dcterms:modified>
</cp:coreProperties>
</file>