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Rule="auto"/>
        <w:rPr>
          <w:rFonts w:ascii="Tahoma" w:cs="Tahoma" w:eastAsia="Tahoma" w:hAnsi="Tahoma"/>
          <w:color w:val="666666"/>
          <w:sz w:val="38"/>
          <w:szCs w:val="38"/>
        </w:rPr>
      </w:pPr>
      <w:r w:rsidDel="00000000" w:rsidR="00000000" w:rsidRPr="00000000">
        <w:rPr>
          <w:rFonts w:ascii="Tahoma" w:cs="Tahoma" w:eastAsia="Tahoma" w:hAnsi="Tahoma"/>
          <w:color w:val="666666"/>
          <w:sz w:val="38"/>
          <w:szCs w:val="38"/>
          <w:rtl w:val="0"/>
        </w:rPr>
        <w:t xml:space="preserve">Dr. Tarpay Ádám</w:t>
      </w:r>
    </w:p>
    <w:p w:rsidR="00000000" w:rsidDel="00000000" w:rsidP="00000000" w:rsidRDefault="00000000" w:rsidRPr="00000000" w14:paraId="00000001">
      <w:pPr>
        <w:shd w:fill="ffffff" w:val="clear"/>
        <w:spacing w:after="150" w:before="150" w:lineRule="auto"/>
        <w:rPr>
          <w:rFonts w:ascii="Tahoma" w:cs="Tahoma" w:eastAsia="Tahoma" w:hAnsi="Tahoma"/>
          <w:b w:val="1"/>
          <w:color w:val="666666"/>
          <w:sz w:val="20"/>
          <w:szCs w:val="20"/>
        </w:rPr>
      </w:pPr>
      <w:r w:rsidDel="00000000" w:rsidR="00000000" w:rsidRPr="00000000">
        <w:rPr>
          <w:rFonts w:ascii="Tahoma" w:cs="Tahoma" w:eastAsia="Tahoma" w:hAnsi="Tahoma"/>
          <w:b w:val="1"/>
          <w:color w:val="666666"/>
          <w:sz w:val="20"/>
          <w:szCs w:val="20"/>
          <w:rtl w:val="0"/>
        </w:rPr>
        <w:t xml:space="preserve">Belgyógyász és gasztroenterológus  szakorvos</w:t>
      </w:r>
    </w:p>
    <w:p w:rsidR="00000000" w:rsidDel="00000000" w:rsidP="00000000" w:rsidRDefault="00000000" w:rsidRPr="00000000" w14:paraId="00000002">
      <w:pPr>
        <w:shd w:fill="ffffff" w:val="clear"/>
        <w:spacing w:after="150" w:before="150" w:lineRule="auto"/>
        <w:rPr>
          <w:rFonts w:ascii="Tahoma" w:cs="Tahoma" w:eastAsia="Tahoma" w:hAnsi="Tahoma"/>
          <w:color w:val="666666"/>
          <w:sz w:val="20"/>
          <w:szCs w:val="20"/>
        </w:rPr>
      </w:pPr>
      <w:r w:rsidDel="00000000" w:rsidR="00000000" w:rsidRPr="00000000">
        <w:rPr>
          <w:rFonts w:ascii="Tahoma" w:cs="Tahoma" w:eastAsia="Tahoma" w:hAnsi="Tahoma"/>
          <w:b w:val="1"/>
          <w:color w:val="666666"/>
          <w:sz w:val="20"/>
          <w:szCs w:val="20"/>
          <w:rtl w:val="0"/>
        </w:rPr>
        <w:t xml:space="preserve">Daganatsebészeti Központ</w:t>
      </w:r>
      <w:r w:rsidDel="00000000" w:rsidR="00000000" w:rsidRPr="00000000">
        <w:rPr>
          <w:rtl w:val="0"/>
        </w:rPr>
      </w:r>
    </w:p>
    <w:p w:rsidR="00000000" w:rsidDel="00000000" w:rsidP="00000000" w:rsidRDefault="00000000" w:rsidRPr="00000000" w14:paraId="00000003">
      <w:pPr>
        <w:shd w:fill="ffffff" w:val="clear"/>
        <w:spacing w:after="150" w:before="150" w:lineRule="auto"/>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Invazív Gasztroenterológiai Részleg</w:t>
      </w:r>
    </w:p>
    <w:p w:rsidR="00000000" w:rsidDel="00000000" w:rsidP="00000000" w:rsidRDefault="00000000" w:rsidRPr="00000000" w14:paraId="00000004">
      <w:pPr>
        <w:shd w:fill="ffffff" w:val="clear"/>
        <w:spacing w:after="150" w:before="150" w:lineRule="auto"/>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Telefon: 0612248600/3671 mellék</w:t>
      </w:r>
    </w:p>
    <w:p w:rsidR="00000000" w:rsidDel="00000000" w:rsidP="00000000" w:rsidRDefault="00000000" w:rsidRPr="00000000" w14:paraId="00000005">
      <w:pPr>
        <w:shd w:fill="ffffff" w:val="clear"/>
        <w:spacing w:after="150" w:before="150" w:lineRule="auto"/>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Email: adamtarpay@gmail.com</w:t>
      </w:r>
    </w:p>
    <w:p w:rsidR="00000000" w:rsidDel="00000000" w:rsidP="00000000" w:rsidRDefault="00000000" w:rsidRPr="00000000" w14:paraId="00000006">
      <w:pPr>
        <w:shd w:fill="ffffff" w:val="clear"/>
        <w:spacing w:after="150" w:before="15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Tanulmányok</w:t>
      </w:r>
    </w:p>
    <w:p w:rsidR="00000000" w:rsidDel="00000000" w:rsidP="00000000" w:rsidRDefault="00000000" w:rsidRPr="00000000" w14:paraId="00000008">
      <w:pPr>
        <w:numPr>
          <w:ilvl w:val="0"/>
          <w:numId w:val="4"/>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1996. Érettségi , Budapest, Kossuth Zsuzsa Eü. Szki. És Gimnázium</w:t>
      </w:r>
    </w:p>
    <w:p w:rsidR="00000000" w:rsidDel="00000000" w:rsidP="00000000" w:rsidRDefault="00000000" w:rsidRPr="00000000" w14:paraId="00000009">
      <w:pPr>
        <w:numPr>
          <w:ilvl w:val="0"/>
          <w:numId w:val="4"/>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2006. Semmelweis Egyetem, Általános Orvostudományi Kar</w:t>
      </w:r>
    </w:p>
    <w:p w:rsidR="00000000" w:rsidDel="00000000" w:rsidP="00000000" w:rsidRDefault="00000000" w:rsidRPr="00000000" w14:paraId="0000000A">
      <w:pPr>
        <w:numPr>
          <w:ilvl w:val="0"/>
          <w:numId w:val="4"/>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2006. Semmelweis Egyetem, Gyógyszerésztudományi Kar</w:t>
      </w:r>
    </w:p>
    <w:p w:rsidR="00000000" w:rsidDel="00000000" w:rsidP="00000000" w:rsidRDefault="00000000" w:rsidRPr="00000000" w14:paraId="0000000B">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 </w:t>
      </w:r>
    </w:p>
    <w:p w:rsidR="00000000" w:rsidDel="00000000" w:rsidP="00000000" w:rsidRDefault="00000000" w:rsidRPr="00000000" w14:paraId="0000000C">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Nyelvismeret</w:t>
      </w:r>
    </w:p>
    <w:p w:rsidR="00000000" w:rsidDel="00000000" w:rsidP="00000000" w:rsidRDefault="00000000" w:rsidRPr="00000000" w14:paraId="0000000D">
      <w:pPr>
        <w:numPr>
          <w:ilvl w:val="0"/>
          <w:numId w:val="5"/>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Angol középfok</w:t>
      </w:r>
    </w:p>
    <w:p w:rsidR="00000000" w:rsidDel="00000000" w:rsidP="00000000" w:rsidRDefault="00000000" w:rsidRPr="00000000" w14:paraId="0000000E">
      <w:pPr>
        <w:numPr>
          <w:ilvl w:val="0"/>
          <w:numId w:val="5"/>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Német alapfok</w:t>
      </w:r>
    </w:p>
    <w:p w:rsidR="00000000" w:rsidDel="00000000" w:rsidP="00000000" w:rsidRDefault="00000000" w:rsidRPr="00000000" w14:paraId="0000000F">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 </w:t>
      </w:r>
    </w:p>
    <w:p w:rsidR="00000000" w:rsidDel="00000000" w:rsidP="00000000" w:rsidRDefault="00000000" w:rsidRPr="00000000" w14:paraId="00000010">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Szakképesítés</w:t>
      </w:r>
    </w:p>
    <w:p w:rsidR="00000000" w:rsidDel="00000000" w:rsidP="00000000" w:rsidRDefault="00000000" w:rsidRPr="00000000" w14:paraId="00000011">
      <w:pPr>
        <w:numPr>
          <w:ilvl w:val="0"/>
          <w:numId w:val="6"/>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2012. belgyógyász szakorvos</w:t>
      </w:r>
    </w:p>
    <w:p w:rsidR="00000000" w:rsidDel="00000000" w:rsidP="00000000" w:rsidRDefault="00000000" w:rsidRPr="00000000" w14:paraId="00000012">
      <w:pPr>
        <w:numPr>
          <w:ilvl w:val="0"/>
          <w:numId w:val="6"/>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2014. gasztroenterológus szakorvos</w:t>
      </w:r>
    </w:p>
    <w:p w:rsidR="00000000" w:rsidDel="00000000" w:rsidP="00000000" w:rsidRDefault="00000000" w:rsidRPr="00000000" w14:paraId="00000013">
      <w:pPr>
        <w:numPr>
          <w:ilvl w:val="0"/>
          <w:numId w:val="6"/>
        </w:numPr>
        <w:shd w:fill="ffffff" w:val="clear"/>
        <w:spacing w:after="36" w:before="36" w:lineRule="auto"/>
        <w:ind w:left="480" w:right="480" w:hanging="360"/>
        <w:rPr>
          <w:color w:val="666666"/>
        </w:rPr>
      </w:pPr>
      <w:bookmarkStart w:colFirst="0" w:colLast="0" w:name="_gjdgxs" w:id="0"/>
      <w:bookmarkEnd w:id="0"/>
      <w:r w:rsidDel="00000000" w:rsidR="00000000" w:rsidRPr="00000000">
        <w:rPr>
          <w:rFonts w:ascii="Tahoma" w:cs="Tahoma" w:eastAsia="Tahoma" w:hAnsi="Tahoma"/>
          <w:color w:val="666666"/>
          <w:sz w:val="20"/>
          <w:szCs w:val="20"/>
          <w:rtl w:val="0"/>
        </w:rPr>
        <w:t xml:space="preserve">2015. endoszkópos ultrahang </w:t>
      </w:r>
    </w:p>
    <w:p w:rsidR="00000000" w:rsidDel="00000000" w:rsidP="00000000" w:rsidRDefault="00000000" w:rsidRPr="00000000" w14:paraId="00000014">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 </w:t>
      </w:r>
    </w:p>
    <w:p w:rsidR="00000000" w:rsidDel="00000000" w:rsidP="00000000" w:rsidRDefault="00000000" w:rsidRPr="00000000" w14:paraId="00000015">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Munkahelyek</w:t>
      </w:r>
    </w:p>
    <w:p w:rsidR="00000000" w:rsidDel="00000000" w:rsidP="00000000" w:rsidRDefault="00000000" w:rsidRPr="00000000" w14:paraId="00000016">
      <w:pPr>
        <w:numPr>
          <w:ilvl w:val="0"/>
          <w:numId w:val="1"/>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2009- Országos Onkológiai Intézet, Daganatsebészeti Központ, Invazív Gasztroenterológiai Részleg</w:t>
      </w:r>
    </w:p>
    <w:p w:rsidR="00000000" w:rsidDel="00000000" w:rsidP="00000000" w:rsidRDefault="00000000" w:rsidRPr="00000000" w14:paraId="00000017">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 </w:t>
      </w:r>
    </w:p>
    <w:p w:rsidR="00000000" w:rsidDel="00000000" w:rsidP="00000000" w:rsidRDefault="00000000" w:rsidRPr="00000000" w14:paraId="00000018">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Tudományos Társasági Tagságok</w:t>
      </w:r>
    </w:p>
    <w:p w:rsidR="00000000" w:rsidDel="00000000" w:rsidP="00000000" w:rsidRDefault="00000000" w:rsidRPr="00000000" w14:paraId="00000019">
      <w:pPr>
        <w:numPr>
          <w:ilvl w:val="0"/>
          <w:numId w:val="2"/>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Magyar Gasztroenterológiai Társaság</w:t>
      </w:r>
    </w:p>
    <w:p w:rsidR="00000000" w:rsidDel="00000000" w:rsidP="00000000" w:rsidRDefault="00000000" w:rsidRPr="00000000" w14:paraId="0000001A">
      <w:pPr>
        <w:numPr>
          <w:ilvl w:val="0"/>
          <w:numId w:val="2"/>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Amerikai Gasztrointesztinális Endoszkópos Társaság</w:t>
      </w:r>
    </w:p>
    <w:p w:rsidR="00000000" w:rsidDel="00000000" w:rsidP="00000000" w:rsidRDefault="00000000" w:rsidRPr="00000000" w14:paraId="0000001B">
      <w:pPr>
        <w:numPr>
          <w:ilvl w:val="0"/>
          <w:numId w:val="2"/>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FIGAMU</w:t>
      </w:r>
    </w:p>
    <w:p w:rsidR="00000000" w:rsidDel="00000000" w:rsidP="00000000" w:rsidRDefault="00000000" w:rsidRPr="00000000" w14:paraId="0000001C">
      <w:pPr>
        <w:numPr>
          <w:ilvl w:val="0"/>
          <w:numId w:val="2"/>
        </w:numPr>
        <w:shd w:fill="ffffff" w:val="clear"/>
        <w:spacing w:after="36" w:before="36" w:lineRule="auto"/>
        <w:ind w:left="480" w:right="480" w:hanging="360"/>
        <w:rPr>
          <w:color w:val="666666"/>
        </w:rPr>
      </w:pPr>
      <w:r w:rsidDel="00000000" w:rsidR="00000000" w:rsidRPr="00000000">
        <w:rPr>
          <w:rFonts w:ascii="Tahoma" w:cs="Tahoma" w:eastAsia="Tahoma" w:hAnsi="Tahoma"/>
          <w:color w:val="666666"/>
          <w:sz w:val="20"/>
          <w:szCs w:val="20"/>
          <w:rtl w:val="0"/>
        </w:rPr>
        <w:t xml:space="preserve">MOT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after="0" w:lineRule="auto"/>
        <w:rPr>
          <w:rFonts w:ascii="Tahoma" w:cs="Tahoma" w:eastAsia="Tahoma" w:hAnsi="Tahoma"/>
          <w:b w:val="1"/>
          <w:color w:val="666666"/>
          <w:sz w:val="30"/>
          <w:szCs w:val="30"/>
        </w:rPr>
      </w:pPr>
      <w:r w:rsidDel="00000000" w:rsidR="00000000" w:rsidRPr="00000000">
        <w:rPr>
          <w:rFonts w:ascii="Tahoma" w:cs="Tahoma" w:eastAsia="Tahoma" w:hAnsi="Tahoma"/>
          <w:b w:val="1"/>
          <w:color w:val="666666"/>
          <w:sz w:val="30"/>
          <w:szCs w:val="30"/>
          <w:rtl w:val="0"/>
        </w:rPr>
        <w:t xml:space="preserve">Publikációk</w:t>
      </w:r>
    </w:p>
    <w:p w:rsidR="00000000" w:rsidDel="00000000" w:rsidP="00000000" w:rsidRDefault="00000000" w:rsidRPr="00000000" w14:paraId="0000001F">
      <w:pPr>
        <w:rPr>
          <w:rFonts w:ascii="Tahoma" w:cs="Tahoma" w:eastAsia="Tahoma" w:hAnsi="Tahoma"/>
          <w:color w:val="666666"/>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Alternatives for the intensive follow-up after curative resection of colorectal cancer. Potential novel biomarkers for the recommendations.Orosz E, Ember I, Gombos K, Tóth L, Tarpay Á, Pap Á, Ottó S. Pathol Oncol Res. 2013 Oct;19(4):619-29.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Need for developing a new strategy in the follow-up of colorectal cancer patients; the micro RNAs (miRNAs), as potential new biomarkers of early detection.                                                         Orosz E, Ember I, Gombos K, Tóth L, Vámosi Nagy I, Tarpay A, Pap A, Ottó S.                            Magy Onkol. 2012 May;56(2):93-102.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A double immunochemical method for detecting faecal haemoglobin and albumin in rectal screening. Tarpay A, Szabadosné Németh M, Orosz E, Kásler M, Burai M, Pap A, Ottó S.                              Magy Onkol. 2011 Nov;55(4):268-73.</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Laparoscoppal végzett subtotalis gyomorresectio Roux-en-Y szerinti rekonstrukcióval, antralis gyomoradenocarcinoma miatt.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ahoma" w:cs="Tahoma" w:eastAsia="Tahoma" w:hAnsi="Tahoma"/>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Sztipits T, Mészáros P, Dubóczki Z, Tarpay Á, Mersich 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ahoma" w:cs="Tahoma" w:eastAsia="Tahoma" w:hAnsi="Tahoma"/>
          <w:b w:val="0"/>
          <w:i w:val="0"/>
          <w:smallCaps w:val="0"/>
          <w:strike w:val="0"/>
          <w:color w:val="666666"/>
          <w:sz w:val="20"/>
          <w:szCs w:val="20"/>
          <w:u w:val="none"/>
          <w:shd w:fill="auto" w:val="clear"/>
          <w:vertAlign w:val="baseline"/>
        </w:rPr>
      </w:pPr>
      <w:r w:rsidDel="00000000" w:rsidR="00000000" w:rsidRPr="00000000">
        <w:rPr>
          <w:rFonts w:ascii="Tahoma" w:cs="Tahoma" w:eastAsia="Tahoma" w:hAnsi="Tahoma"/>
          <w:b w:val="0"/>
          <w:i w:val="0"/>
          <w:smallCaps w:val="0"/>
          <w:strike w:val="0"/>
          <w:color w:val="666666"/>
          <w:sz w:val="20"/>
          <w:szCs w:val="20"/>
          <w:u w:val="none"/>
          <w:shd w:fill="auto" w:val="clear"/>
          <w:vertAlign w:val="baseline"/>
          <w:rtl w:val="0"/>
        </w:rPr>
        <w:t xml:space="preserve">Magy Seb. 2015 Dec;68(6):235-8. doi: 10.1556/1046.68.2015.6.4. Hungarian.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tabs>
          <w:tab w:val="left" w:pos="2430"/>
        </w:tabs>
        <w:rPr/>
      </w:pPr>
      <w:r w:rsidDel="00000000" w:rsidR="00000000" w:rsidRPr="00000000">
        <w:rPr>
          <w:rtl w:val="0"/>
        </w:rPr>
        <w:tab/>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4F345B"/>
  </w:style>
  <w:style w:type="paragraph" w:styleId="Cmsor1">
    <w:name w:val="heading 1"/>
    <w:basedOn w:val="Norml"/>
    <w:link w:val="Cmsor1Char"/>
    <w:uiPriority w:val="9"/>
    <w:qFormat w:val="1"/>
    <w:rsid w:val="005F53DA"/>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hu-HU"/>
    </w:rPr>
  </w:style>
  <w:style w:type="paragraph" w:styleId="Cmsor3">
    <w:name w:val="heading 3"/>
    <w:basedOn w:val="Norml"/>
    <w:link w:val="Cmsor3Char"/>
    <w:uiPriority w:val="9"/>
    <w:qFormat w:val="1"/>
    <w:rsid w:val="005F53D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1Char" w:customStyle="1">
    <w:name w:val="Címsor 1 Char"/>
    <w:basedOn w:val="Bekezdsalapbettpusa"/>
    <w:link w:val="Cmsor1"/>
    <w:uiPriority w:val="9"/>
    <w:rsid w:val="005F53DA"/>
    <w:rPr>
      <w:rFonts w:ascii="Times New Roman" w:cs="Times New Roman" w:eastAsia="Times New Roman" w:hAnsi="Times New Roman"/>
      <w:b w:val="1"/>
      <w:bCs w:val="1"/>
      <w:kern w:val="36"/>
      <w:sz w:val="48"/>
      <w:szCs w:val="48"/>
      <w:lang w:eastAsia="hu-HU"/>
    </w:rPr>
  </w:style>
  <w:style w:type="character" w:styleId="Cmsor3Char" w:customStyle="1">
    <w:name w:val="Címsor 3 Char"/>
    <w:basedOn w:val="Bekezdsalapbettpusa"/>
    <w:link w:val="Cmsor3"/>
    <w:uiPriority w:val="9"/>
    <w:rsid w:val="005F53DA"/>
    <w:rPr>
      <w:rFonts w:ascii="Times New Roman" w:cs="Times New Roman" w:eastAsia="Times New Roman" w:hAnsi="Times New Roman"/>
      <w:b w:val="1"/>
      <w:bCs w:val="1"/>
      <w:sz w:val="27"/>
      <w:szCs w:val="27"/>
      <w:lang w:eastAsia="hu-HU"/>
    </w:rPr>
  </w:style>
  <w:style w:type="paragraph" w:styleId="NormlWeb">
    <w:name w:val="Normal (Web)"/>
    <w:basedOn w:val="Norml"/>
    <w:uiPriority w:val="99"/>
    <w:semiHidden w:val="1"/>
    <w:unhideWhenUsed w:val="1"/>
    <w:rsid w:val="005F53DA"/>
    <w:pPr>
      <w:spacing w:after="100" w:afterAutospacing="1" w:before="100" w:beforeAutospacing="1" w:line="240" w:lineRule="auto"/>
    </w:pPr>
    <w:rPr>
      <w:rFonts w:ascii="Times New Roman" w:cs="Times New Roman" w:eastAsia="Times New Roman" w:hAnsi="Times New Roman"/>
      <w:sz w:val="24"/>
      <w:szCs w:val="24"/>
      <w:lang w:eastAsia="hu-HU"/>
    </w:rPr>
  </w:style>
  <w:style w:type="character" w:styleId="Kiemels2">
    <w:name w:val="Strong"/>
    <w:basedOn w:val="Bekezdsalapbettpusa"/>
    <w:uiPriority w:val="22"/>
    <w:qFormat w:val="1"/>
    <w:rsid w:val="005F53DA"/>
    <w:rPr>
      <w:b w:val="1"/>
      <w:bCs w:val="1"/>
    </w:rPr>
  </w:style>
  <w:style w:type="paragraph" w:styleId="Listaszerbekezds">
    <w:name w:val="List Paragraph"/>
    <w:basedOn w:val="Norml"/>
    <w:uiPriority w:val="34"/>
    <w:qFormat w:val="1"/>
    <w:rsid w:val="005F53D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2015-12-04T13:55:00Z</dcterms:created>
  <dc:creator>DEUS</dc:creator>
</cp:coreProperties>
</file>